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D66" w:rsidRDefault="00CF7D66" w:rsidP="00CF7D66">
      <w:pPr>
        <w:suppressLineNumbers/>
        <w:rPr>
          <w:sz w:val="26"/>
          <w:szCs w:val="26"/>
        </w:rPr>
      </w:pPr>
      <w:bookmarkStart w:id="0" w:name="_GoBack"/>
      <w:bookmarkEnd w:id="0"/>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CF7D66" w:rsidTr="00CF7D66">
        <w:trPr>
          <w:jc w:val="center"/>
        </w:trPr>
        <w:tc>
          <w:tcPr>
            <w:tcW w:w="8820" w:type="dxa"/>
            <w:gridSpan w:val="2"/>
            <w:hideMark/>
          </w:tcPr>
          <w:p w:rsidR="00CF7D66" w:rsidRDefault="00CF7D66">
            <w:pPr>
              <w:jc w:val="both"/>
              <w:rPr>
                <w:b/>
                <w:bCs/>
                <w:sz w:val="26"/>
                <w:szCs w:val="26"/>
              </w:rPr>
            </w:pPr>
            <w:r>
              <w:rPr>
                <w:b/>
                <w:bCs/>
                <w:sz w:val="26"/>
                <w:szCs w:val="26"/>
                <w:rtl/>
              </w:rPr>
              <w:t xml:space="preserve">לפני </w:t>
            </w:r>
            <w:r>
              <w:rPr>
                <w:rFonts w:ascii="Arial" w:hAnsi="Arial"/>
                <w:b/>
                <w:bCs/>
                <w:sz w:val="26"/>
                <w:szCs w:val="26"/>
                <w:rtl/>
              </w:rPr>
              <w:t>כבוד ה</w:t>
            </w:r>
            <w:sdt>
              <w:sdtPr>
                <w:rPr>
                  <w:sz w:val="26"/>
                  <w:szCs w:val="26"/>
                  <w:rtl/>
                </w:rPr>
                <w:alias w:val="1574"/>
                <w:tag w:val="1574"/>
                <w:id w:val="-868990752"/>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מיה רויזמן-אלדור</w:t>
                </w:r>
              </w:sdtContent>
            </w:sdt>
          </w:p>
        </w:tc>
      </w:tr>
      <w:tr w:rsidR="00CF7D66" w:rsidTr="00CF7D66">
        <w:trPr>
          <w:jc w:val="center"/>
        </w:trPr>
        <w:tc>
          <w:tcPr>
            <w:tcW w:w="3249" w:type="dxa"/>
          </w:tcPr>
          <w:p w:rsidR="00CF7D66" w:rsidRDefault="00CF7D66" w:rsidP="0092293E">
            <w:pPr>
              <w:jc w:val="left"/>
              <w:rPr>
                <w:b/>
                <w:bCs/>
                <w:sz w:val="26"/>
                <w:szCs w:val="26"/>
              </w:rPr>
            </w:pPr>
          </w:p>
          <w:p w:rsidR="00CF7D66" w:rsidRDefault="00CF7D66" w:rsidP="0092293E">
            <w:pPr>
              <w:jc w:val="left"/>
              <w:rPr>
                <w:rFonts w:ascii="Arial (W1)" w:hAnsi="Arial (W1)"/>
                <w:b/>
                <w:bCs/>
                <w:noProof w:val="0"/>
                <w:sz w:val="26"/>
                <w:szCs w:val="26"/>
              </w:rPr>
            </w:pPr>
            <w:r>
              <w:rPr>
                <w:b/>
                <w:bCs/>
                <w:sz w:val="26"/>
                <w:szCs w:val="26"/>
                <w:rtl/>
              </w:rPr>
              <w:t>ה</w:t>
            </w:r>
            <w:sdt>
              <w:sdtPr>
                <w:rPr>
                  <w:sz w:val="26"/>
                  <w:szCs w:val="26"/>
                  <w:rtl/>
                </w:rPr>
                <w:alias w:val="1180"/>
                <w:tag w:val="1180"/>
                <w:id w:val="-803768281"/>
                <w:text w:multiLine="1"/>
              </w:sdtPr>
              <w:sdtEndPr/>
              <w:sdtContent>
                <w:r>
                  <w:rPr>
                    <w:b/>
                    <w:bCs/>
                    <w:sz w:val="26"/>
                    <w:szCs w:val="26"/>
                    <w:rtl/>
                  </w:rPr>
                  <w:t>תובע</w:t>
                </w:r>
                <w:r>
                  <w:rPr>
                    <w:sz w:val="26"/>
                    <w:szCs w:val="26"/>
                    <w:rtl/>
                  </w:rPr>
                  <w:t>:</w:t>
                </w:r>
              </w:sdtContent>
            </w:sdt>
          </w:p>
        </w:tc>
        <w:tc>
          <w:tcPr>
            <w:tcW w:w="5571" w:type="dxa"/>
          </w:tcPr>
          <w:p w:rsidR="00CF7D66" w:rsidRDefault="00CF7D66" w:rsidP="0092293E">
            <w:pPr>
              <w:jc w:val="left"/>
              <w:rPr>
                <w:rFonts w:ascii="Arial" w:hAnsi="Arial"/>
                <w:b/>
                <w:bCs/>
                <w:noProof w:val="0"/>
                <w:sz w:val="26"/>
                <w:szCs w:val="26"/>
                <w:rtl/>
              </w:rPr>
            </w:pPr>
          </w:p>
          <w:p w:rsidR="00CF7D66" w:rsidRDefault="00CF7D66" w:rsidP="0092293E">
            <w:pPr>
              <w:jc w:val="left"/>
              <w:rPr>
                <w:rFonts w:ascii="Arial" w:hAnsi="Arial"/>
                <w:b/>
                <w:bCs/>
                <w:noProof w:val="0"/>
                <w:sz w:val="26"/>
                <w:szCs w:val="26"/>
              </w:rPr>
            </w:pPr>
            <w:r>
              <w:rPr>
                <w:rFonts w:ascii="Arial" w:hAnsi="Arial"/>
                <w:b/>
                <w:bCs/>
                <w:noProof w:val="0"/>
                <w:sz w:val="26"/>
                <w:szCs w:val="26"/>
                <w:rtl/>
              </w:rPr>
              <w:t>פלוני</w:t>
            </w:r>
          </w:p>
          <w:p w:rsidR="00CF7D66" w:rsidRDefault="00CF7D66" w:rsidP="0092293E">
            <w:pPr>
              <w:jc w:val="left"/>
              <w:rPr>
                <w:rFonts w:ascii="Arial (W1)" w:hAnsi="Arial (W1)"/>
                <w:b/>
                <w:bCs/>
                <w:noProof w:val="0"/>
                <w:sz w:val="26"/>
                <w:szCs w:val="26"/>
                <w:rtl/>
              </w:rPr>
            </w:pPr>
            <w:r>
              <w:rPr>
                <w:rFonts w:ascii="Arial" w:hAnsi="Arial"/>
                <w:b/>
                <w:bCs/>
                <w:noProof w:val="0"/>
                <w:sz w:val="26"/>
                <w:szCs w:val="26"/>
                <w:rtl/>
              </w:rPr>
              <w:t>ע"י ב"כ עו"ד בנו גליקמן</w:t>
            </w:r>
          </w:p>
        </w:tc>
      </w:tr>
      <w:tr w:rsidR="00CF7D66" w:rsidTr="00CF7D66">
        <w:trPr>
          <w:jc w:val="center"/>
        </w:trPr>
        <w:tc>
          <w:tcPr>
            <w:tcW w:w="8820" w:type="dxa"/>
            <w:gridSpan w:val="2"/>
          </w:tcPr>
          <w:p w:rsidR="00CF7D66" w:rsidRDefault="00CF7D66" w:rsidP="0092293E">
            <w:pPr>
              <w:jc w:val="left"/>
              <w:rPr>
                <w:rFonts w:ascii="Arial (W1)" w:hAnsi="Arial (W1)"/>
                <w:b/>
                <w:bCs/>
                <w:noProof w:val="0"/>
                <w:rtl/>
              </w:rPr>
            </w:pPr>
          </w:p>
          <w:p w:rsidR="00CF7D66" w:rsidRDefault="00CF7D66" w:rsidP="0092293E">
            <w:pPr>
              <w:jc w:val="center"/>
              <w:rPr>
                <w:b/>
                <w:bCs/>
                <w:noProof w:val="0"/>
                <w:sz w:val="26"/>
                <w:szCs w:val="26"/>
              </w:rPr>
            </w:pPr>
            <w:r>
              <w:rPr>
                <w:b/>
                <w:bCs/>
                <w:noProof w:val="0"/>
                <w:sz w:val="26"/>
                <w:szCs w:val="26"/>
                <w:rtl/>
              </w:rPr>
              <w:t>נגד</w:t>
            </w:r>
          </w:p>
          <w:p w:rsidR="00CF7D66" w:rsidRDefault="00CF7D66" w:rsidP="0092293E">
            <w:pPr>
              <w:jc w:val="left"/>
              <w:rPr>
                <w:rFonts w:ascii="Arial (W1)" w:hAnsi="Arial (W1)"/>
                <w:b/>
                <w:bCs/>
                <w:noProof w:val="0"/>
                <w:sz w:val="16"/>
                <w:szCs w:val="16"/>
                <w:rtl/>
              </w:rPr>
            </w:pPr>
          </w:p>
        </w:tc>
      </w:tr>
      <w:tr w:rsidR="00CF7D66" w:rsidTr="00CF7D66">
        <w:trPr>
          <w:jc w:val="center"/>
        </w:trPr>
        <w:tc>
          <w:tcPr>
            <w:tcW w:w="3249" w:type="dxa"/>
            <w:hideMark/>
          </w:tcPr>
          <w:p w:rsidR="00CF7D66" w:rsidRDefault="00CF7D66" w:rsidP="0092293E">
            <w:pPr>
              <w:jc w:val="left"/>
              <w:rPr>
                <w:rFonts w:ascii="Arial (W1)" w:hAnsi="Arial (W1)"/>
                <w:b/>
                <w:bCs/>
                <w:noProof w:val="0"/>
                <w:sz w:val="26"/>
                <w:szCs w:val="26"/>
                <w:rtl/>
              </w:rPr>
            </w:pPr>
            <w:r>
              <w:rPr>
                <w:b/>
                <w:bCs/>
                <w:sz w:val="26"/>
                <w:szCs w:val="26"/>
                <w:rtl/>
              </w:rPr>
              <w:t>ה</w:t>
            </w:r>
            <w:sdt>
              <w:sdtPr>
                <w:rPr>
                  <w:b/>
                  <w:bCs/>
                  <w:sz w:val="26"/>
                  <w:szCs w:val="26"/>
                  <w:rtl/>
                </w:rPr>
                <w:alias w:val="1184"/>
                <w:tag w:val="1184"/>
                <w:id w:val="-910234160"/>
                <w:text w:multiLine="1"/>
              </w:sdtPr>
              <w:sdtEndPr/>
              <w:sdtContent>
                <w:r>
                  <w:rPr>
                    <w:b/>
                    <w:bCs/>
                    <w:sz w:val="26"/>
                    <w:szCs w:val="26"/>
                    <w:rtl/>
                  </w:rPr>
                  <w:t>נתבעות:</w:t>
                </w:r>
              </w:sdtContent>
            </w:sdt>
          </w:p>
        </w:tc>
        <w:tc>
          <w:tcPr>
            <w:tcW w:w="5571" w:type="dxa"/>
            <w:hideMark/>
          </w:tcPr>
          <w:p w:rsidR="00CF7D66" w:rsidRDefault="006D01FE" w:rsidP="0092293E">
            <w:pPr>
              <w:suppressLineNumbers/>
              <w:jc w:val="left"/>
            </w:pPr>
            <w:sdt>
              <w:sdtPr>
                <w:rPr>
                  <w:rFonts w:ascii="Arial" w:hAnsi="Arial"/>
                  <w:b/>
                  <w:bCs/>
                  <w:noProof w:val="0"/>
                  <w:sz w:val="26"/>
                  <w:szCs w:val="26"/>
                  <w:rtl/>
                </w:rPr>
                <w:alias w:val="1571"/>
                <w:tag w:val="1571"/>
                <w:id w:val="1028836282"/>
                <w:text w:multiLine="1"/>
              </w:sdtPr>
              <w:sdtEndPr/>
              <w:sdtContent>
                <w:r w:rsidR="00CF7D66">
                  <w:rPr>
                    <w:rFonts w:ascii="Arial" w:hAnsi="Arial"/>
                    <w:b/>
                    <w:bCs/>
                    <w:noProof w:val="0"/>
                    <w:sz w:val="26"/>
                    <w:szCs w:val="26"/>
                    <w:rtl/>
                  </w:rPr>
                  <w:t>1</w:t>
                </w:r>
              </w:sdtContent>
            </w:sdt>
            <w:r w:rsidR="00CF7D66">
              <w:rPr>
                <w:rFonts w:ascii="Arial" w:hAnsi="Arial"/>
                <w:b/>
                <w:bCs/>
                <w:noProof w:val="0"/>
                <w:sz w:val="26"/>
                <w:szCs w:val="26"/>
                <w:rtl/>
              </w:rPr>
              <w:t xml:space="preserve">. </w:t>
            </w:r>
            <w:sdt>
              <w:sdtPr>
                <w:rPr>
                  <w:rFonts w:ascii="Arial" w:hAnsi="Arial"/>
                  <w:b/>
                  <w:bCs/>
                  <w:noProof w:val="0"/>
                  <w:sz w:val="26"/>
                  <w:szCs w:val="26"/>
                  <w:rtl/>
                </w:rPr>
                <w:alias w:val="3152"/>
                <w:tag w:val="3152"/>
                <w:id w:val="-1346628691"/>
                <w:placeholder>
                  <w:docPart w:val="138923205D2544C290DFC56F68BF469F"/>
                </w:placeholder>
                <w:text w:multiLine="1"/>
              </w:sdtPr>
              <w:sdtEndPr/>
              <w:sdtContent>
                <w:r w:rsidR="00CF7D66">
                  <w:rPr>
                    <w:rFonts w:ascii="Arial" w:hAnsi="Arial"/>
                    <w:b/>
                    <w:bCs/>
                    <w:noProof w:val="0"/>
                    <w:sz w:val="26"/>
                    <w:szCs w:val="26"/>
                    <w:rtl/>
                  </w:rPr>
                  <w:t>הפניקס חברה לביטוח בעמ</w:t>
                </w:r>
                <w:r w:rsidR="00CF7D66">
                  <w:rPr>
                    <w:rFonts w:ascii="Arial" w:hAnsi="Arial"/>
                    <w:b/>
                    <w:bCs/>
                    <w:noProof w:val="0"/>
                    <w:sz w:val="26"/>
                    <w:szCs w:val="26"/>
                    <w:rtl/>
                  </w:rPr>
                  <w:br/>
                  <w:t>ע"י ב"כ עו"ד דגנית קובלר (משרד מארק שירין ושות')</w:t>
                </w:r>
                <w:r w:rsidR="00CF7D66">
                  <w:rPr>
                    <w:rFonts w:ascii="Arial" w:hAnsi="Arial"/>
                    <w:b/>
                    <w:bCs/>
                    <w:noProof w:val="0"/>
                    <w:sz w:val="26"/>
                    <w:szCs w:val="26"/>
                    <w:rtl/>
                  </w:rPr>
                  <w:br/>
                </w:r>
              </w:sdtContent>
            </w:sdt>
          </w:p>
          <w:p w:rsidR="00CF7D66" w:rsidRDefault="006D01FE" w:rsidP="0092293E">
            <w:pPr>
              <w:suppressLineNumbers/>
              <w:jc w:val="left"/>
            </w:pPr>
            <w:sdt>
              <w:sdtPr>
                <w:rPr>
                  <w:rFonts w:ascii="Arial" w:hAnsi="Arial"/>
                  <w:b/>
                  <w:bCs/>
                  <w:noProof w:val="0"/>
                  <w:sz w:val="26"/>
                  <w:szCs w:val="26"/>
                  <w:rtl/>
                </w:rPr>
                <w:alias w:val="1571"/>
                <w:tag w:val="1571"/>
                <w:id w:val="1708610355"/>
                <w:text w:multiLine="1"/>
              </w:sdtPr>
              <w:sdtEndPr/>
              <w:sdtContent>
                <w:r w:rsidR="00CF7D66">
                  <w:rPr>
                    <w:rFonts w:ascii="Arial" w:hAnsi="Arial"/>
                    <w:b/>
                    <w:bCs/>
                    <w:noProof w:val="0"/>
                    <w:sz w:val="26"/>
                    <w:szCs w:val="26"/>
                    <w:rtl/>
                  </w:rPr>
                  <w:t>2</w:t>
                </w:r>
              </w:sdtContent>
            </w:sdt>
            <w:r w:rsidR="00CF7D66">
              <w:rPr>
                <w:rFonts w:ascii="Arial" w:hAnsi="Arial"/>
                <w:b/>
                <w:bCs/>
                <w:noProof w:val="0"/>
                <w:sz w:val="26"/>
                <w:szCs w:val="26"/>
                <w:rtl/>
              </w:rPr>
              <w:t xml:space="preserve">. </w:t>
            </w:r>
            <w:sdt>
              <w:sdtPr>
                <w:rPr>
                  <w:rFonts w:ascii="Arial" w:hAnsi="Arial"/>
                  <w:b/>
                  <w:bCs/>
                  <w:noProof w:val="0"/>
                  <w:sz w:val="26"/>
                  <w:szCs w:val="26"/>
                  <w:rtl/>
                </w:rPr>
                <w:alias w:val="3152"/>
                <w:tag w:val="3152"/>
                <w:id w:val="262579897"/>
                <w:placeholder>
                  <w:docPart w:val="138923205D2544C290DFC56F68BF469F"/>
                </w:placeholder>
                <w:text w:multiLine="1"/>
              </w:sdtPr>
              <w:sdtEndPr/>
              <w:sdtContent>
                <w:r w:rsidR="00CF7D66">
                  <w:rPr>
                    <w:rFonts w:ascii="Arial" w:hAnsi="Arial"/>
                    <w:b/>
                    <w:bCs/>
                    <w:noProof w:val="0"/>
                    <w:sz w:val="26"/>
                    <w:szCs w:val="26"/>
                    <w:rtl/>
                  </w:rPr>
                  <w:t xml:space="preserve">התאגיד המנהל של המאגר לביטוח רכב חובה </w:t>
                </w:r>
                <w:r w:rsidR="00CF7D66">
                  <w:rPr>
                    <w:rFonts w:ascii="Arial" w:hAnsi="Arial"/>
                    <w:b/>
                    <w:bCs/>
                    <w:noProof w:val="0"/>
                    <w:sz w:val="26"/>
                    <w:szCs w:val="26"/>
                    <w:rtl/>
                  </w:rPr>
                  <w:br/>
                  <w:t>("הפול") בע"מ</w:t>
                </w:r>
                <w:r w:rsidR="00CF7D66">
                  <w:rPr>
                    <w:rFonts w:ascii="Arial" w:hAnsi="Arial"/>
                    <w:b/>
                    <w:bCs/>
                    <w:noProof w:val="0"/>
                    <w:sz w:val="26"/>
                    <w:szCs w:val="26"/>
                    <w:rtl/>
                  </w:rPr>
                  <w:br/>
                  <w:t>ע"י ב"כ עו"ד יובל בנימין (משרד עו"ד אירית יפו)</w:t>
                </w:r>
              </w:sdtContent>
            </w:sdt>
          </w:p>
        </w:tc>
      </w:tr>
    </w:tbl>
    <w:p w:rsidR="00CF7D66" w:rsidRDefault="00CF7D66" w:rsidP="0092293E">
      <w:pPr>
        <w:suppressLineNumbers/>
        <w:rPr>
          <w:rFonts w:ascii="Arial (W1)" w:hAnsi="Arial (W1)"/>
          <w:sz w:val="28"/>
          <w:szCs w:val="28"/>
        </w:rPr>
      </w:pP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F7D66" w:rsidTr="00CF7D66">
        <w:trPr>
          <w:jc w:val="center"/>
        </w:trPr>
        <w:tc>
          <w:tcPr>
            <w:tcW w:w="8820" w:type="dxa"/>
            <w:hideMark/>
          </w:tcPr>
          <w:p w:rsidR="00CF7D66" w:rsidRDefault="00CF7D66">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CF7D66" w:rsidRDefault="00CF7D66" w:rsidP="00CF7D66">
      <w:pPr>
        <w:spacing w:line="360" w:lineRule="auto"/>
        <w:jc w:val="both"/>
        <w:rPr>
          <w:rFonts w:ascii="Arial" w:hAnsi="Arial"/>
          <w:noProof w:val="0"/>
        </w:rPr>
      </w:pPr>
    </w:p>
    <w:p w:rsidR="00CF7D66" w:rsidRDefault="00CF7D66" w:rsidP="00CF7D66">
      <w:pPr>
        <w:spacing w:line="360" w:lineRule="auto"/>
        <w:jc w:val="both"/>
        <w:rPr>
          <w:rFonts w:ascii="David" w:hAnsi="David"/>
          <w:b/>
          <w:bCs/>
          <w:noProof w:val="0"/>
          <w:u w:val="single"/>
        </w:rPr>
      </w:pPr>
      <w:r>
        <w:rPr>
          <w:rFonts w:ascii="David" w:hAnsi="David"/>
          <w:b/>
          <w:bCs/>
          <w:u w:val="single"/>
          <w:rtl/>
        </w:rPr>
        <w:t>רקע</w:t>
      </w:r>
    </w:p>
    <w:p w:rsidR="00CF7D66" w:rsidRDefault="00CF7D66" w:rsidP="00CF7D66">
      <w:pPr>
        <w:spacing w:line="360" w:lineRule="auto"/>
        <w:jc w:val="both"/>
        <w:rPr>
          <w:rFonts w:ascii="David" w:hAnsi="David"/>
          <w:rtl/>
        </w:rPr>
      </w:pPr>
      <w:r>
        <w:rPr>
          <w:rFonts w:ascii="David" w:hAnsi="David"/>
          <w:rtl/>
        </w:rPr>
        <w:t xml:space="preserve"> </w:t>
      </w: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לפניי תביעה לפי חוק פיצויים לנפגעי תאונות דרכים, התשל"ה – 1975 (להלן – "</w:t>
      </w:r>
      <w:r>
        <w:rPr>
          <w:rFonts w:ascii="David" w:hAnsi="David" w:cs="David"/>
          <w:b/>
          <w:bCs/>
          <w:sz w:val="24"/>
          <w:szCs w:val="24"/>
          <w:rtl/>
        </w:rPr>
        <w:t>חוק הפלת"ד</w:t>
      </w:r>
      <w:r>
        <w:rPr>
          <w:rFonts w:ascii="David" w:hAnsi="David" w:cs="David"/>
          <w:sz w:val="24"/>
          <w:szCs w:val="24"/>
          <w:rtl/>
        </w:rPr>
        <w:t>"), לפיצוי התובע בגין נזקי הגוף שנגרמו לו בשתי תאונות דרכים שגם הוכרו על ידי המוסד לביטוח לאומי כתאונות עבודה.</w:t>
      </w:r>
    </w:p>
    <w:p w:rsidR="00CF7D66" w:rsidRDefault="00CF7D66" w:rsidP="00CF7D66">
      <w:pPr>
        <w:pStyle w:val="a3"/>
        <w:tabs>
          <w:tab w:val="left" w:pos="368"/>
        </w:tabs>
        <w:spacing w:line="360" w:lineRule="auto"/>
        <w:ind w:left="368"/>
        <w:jc w:val="both"/>
        <w:rPr>
          <w:rFonts w:ascii="David" w:hAnsi="David" w:cs="David"/>
          <w:sz w:val="24"/>
          <w:szCs w:val="24"/>
          <w:rtl/>
        </w:rPr>
      </w:pPr>
      <w:r>
        <w:rPr>
          <w:rFonts w:ascii="David" w:hAnsi="David" w:cs="David"/>
          <w:sz w:val="24"/>
          <w:szCs w:val="24"/>
        </w:rPr>
        <w:t xml:space="preserve"> </w:t>
      </w:r>
    </w:p>
    <w:p w:rsidR="00CF7D66" w:rsidRDefault="00CF7D66" w:rsidP="0092293E">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התובע, יליד </w:t>
      </w:r>
      <w:r w:rsidR="0092293E">
        <w:rPr>
          <w:rFonts w:ascii="David" w:hAnsi="David" w:cs="David" w:hint="cs"/>
          <w:sz w:val="24"/>
          <w:szCs w:val="24"/>
        </w:rPr>
        <w:t>XXX</w:t>
      </w:r>
      <w:r>
        <w:rPr>
          <w:rFonts w:ascii="David" w:hAnsi="David" w:cs="David"/>
          <w:sz w:val="24"/>
          <w:szCs w:val="24"/>
          <w:rtl/>
        </w:rPr>
        <w:t>, נפגע בשתי תאונות דרכים: האחת אירעה ביום 15.9.2013, עת נהג ברכב מ.ר 93-507-63 שהיה מבוטח אצל הפניקס חברה לביטוח בע"מ (להלן – "</w:t>
      </w:r>
      <w:r>
        <w:rPr>
          <w:rFonts w:ascii="David" w:hAnsi="David" w:cs="David"/>
          <w:b/>
          <w:bCs/>
          <w:sz w:val="24"/>
          <w:szCs w:val="24"/>
          <w:rtl/>
        </w:rPr>
        <w:t>התאונה הראשונה</w:t>
      </w:r>
      <w:r>
        <w:rPr>
          <w:rFonts w:ascii="David" w:hAnsi="David" w:cs="David"/>
          <w:sz w:val="24"/>
          <w:szCs w:val="24"/>
          <w:rtl/>
        </w:rPr>
        <w:t>" ו - "</w:t>
      </w:r>
      <w:r>
        <w:rPr>
          <w:rFonts w:ascii="David" w:hAnsi="David" w:cs="David"/>
          <w:b/>
          <w:bCs/>
          <w:sz w:val="24"/>
          <w:szCs w:val="24"/>
          <w:rtl/>
        </w:rPr>
        <w:t>הנתבעת 1</w:t>
      </w:r>
      <w:r>
        <w:rPr>
          <w:rFonts w:ascii="David" w:hAnsi="David" w:cs="David"/>
          <w:sz w:val="24"/>
          <w:szCs w:val="24"/>
          <w:rtl/>
        </w:rPr>
        <w:t>", בהתאמה). השנייה אירעה ביום 11.7.2018, עת רכב על אופנוע מ.ר 33-740-01 שהיה מבוטח אצל המאגר הישראלי לביטוחי רכב - "הפול" (להלן – "</w:t>
      </w:r>
      <w:r>
        <w:rPr>
          <w:rFonts w:ascii="David" w:hAnsi="David" w:cs="David"/>
          <w:b/>
          <w:bCs/>
          <w:sz w:val="24"/>
          <w:szCs w:val="24"/>
          <w:rtl/>
        </w:rPr>
        <w:t>התאונה השנייה</w:t>
      </w:r>
      <w:r>
        <w:rPr>
          <w:rFonts w:ascii="David" w:hAnsi="David" w:cs="David"/>
          <w:sz w:val="24"/>
          <w:szCs w:val="24"/>
          <w:rtl/>
        </w:rPr>
        <w:t>" ו- "</w:t>
      </w:r>
      <w:r>
        <w:rPr>
          <w:rFonts w:ascii="David" w:hAnsi="David" w:cs="David"/>
          <w:b/>
          <w:bCs/>
          <w:sz w:val="24"/>
          <w:szCs w:val="24"/>
          <w:rtl/>
        </w:rPr>
        <w:t>הנתבעת 2</w:t>
      </w:r>
      <w:r>
        <w:rPr>
          <w:rFonts w:ascii="David" w:hAnsi="David" w:cs="David"/>
          <w:sz w:val="24"/>
          <w:szCs w:val="24"/>
          <w:rtl/>
        </w:rPr>
        <w:t>", בהתאמה).</w:t>
      </w:r>
      <w:r>
        <w:rPr>
          <w:rFonts w:ascii="David" w:hAnsi="David" w:cs="David"/>
          <w:b/>
          <w:bCs/>
          <w:sz w:val="24"/>
          <w:szCs w:val="24"/>
          <w:rtl/>
        </w:rPr>
        <w:t xml:space="preserve">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משלא חלקו הנתבעות על עצם חבותן, המחלוקות היחידות הטעונות הכרעה בענייננו נוגעות להיקפו של הנזק שנגרם לתובע כתוצאה מכל אחת מהתאונות, ולשאלה זו אדרש בפסק דין זה.</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במאמר מוסגר אציין כי לאחר שהתקיים דיון הוכחות בתיק, ומשלא צלחה ההידברות בין הצדדים לצורך גיבוש הבנות, נקצבו ביום 29.12.22 מועדים להגשת סיכומים בכתב. המועדים הוארכו לבקשת התובע בהחלטה מיום 29.1.23, כך שהיה על הנתבעות להגיש סיכומיהן עד 22.3.23. אלו לא הוגשו במועד, ואולם בעוד שהנתבעת 2 ביקשה ארכה הנעוצה בהמתנה לקבלת תדפיס המרשם הפלילי של התובע – קולה של הנתבעת 1 נדם. למרות החלטות שיפוטיות מפורשות (מיום 23.3.23; 30.3.23; 18.4.23; 24.4.23; 3.5.23) הנתבעת 1 לא הגישה סיכומים מטעמה עד לרגע זה, ונחשבת כמי שוויתרה על הגשתם.</w:t>
      </w:r>
    </w:p>
    <w:p w:rsidR="00CF7D66" w:rsidRDefault="00CF7D66" w:rsidP="00CF7D66">
      <w:pPr>
        <w:pStyle w:val="a3"/>
        <w:rPr>
          <w:rFonts w:ascii="David" w:hAnsi="David" w:cs="David"/>
          <w:sz w:val="24"/>
          <w:szCs w:val="24"/>
        </w:rPr>
      </w:pPr>
    </w:p>
    <w:p w:rsidR="00CF7D66" w:rsidRDefault="00CF7D66" w:rsidP="00CF7D66">
      <w:pPr>
        <w:tabs>
          <w:tab w:val="left" w:pos="368"/>
        </w:tabs>
        <w:spacing w:line="360" w:lineRule="auto"/>
        <w:jc w:val="both"/>
        <w:rPr>
          <w:rFonts w:ascii="David" w:hAnsi="David"/>
          <w:b/>
          <w:bCs/>
          <w:u w:val="single"/>
          <w:rtl/>
        </w:rPr>
      </w:pPr>
      <w:r>
        <w:rPr>
          <w:rFonts w:ascii="David" w:hAnsi="David"/>
          <w:b/>
          <w:bCs/>
          <w:u w:val="single"/>
          <w:rtl/>
        </w:rPr>
        <w:t>הפגיעה בתובע והנכות הרפואית שנגרמה לו כתוצאה מהתאונות</w:t>
      </w:r>
    </w:p>
    <w:p w:rsidR="00CF7D66" w:rsidRDefault="00CF7D66" w:rsidP="00CF7D66">
      <w:pPr>
        <w:spacing w:line="360" w:lineRule="auto"/>
        <w:jc w:val="both"/>
        <w:rPr>
          <w:rFonts w:ascii="David" w:hAnsi="David"/>
          <w:u w:val="single"/>
        </w:rPr>
      </w:pPr>
    </w:p>
    <w:p w:rsidR="00CF7D66" w:rsidRDefault="00CF7D66" w:rsidP="00CF7D66">
      <w:pPr>
        <w:spacing w:line="360" w:lineRule="auto"/>
        <w:jc w:val="both"/>
        <w:rPr>
          <w:rFonts w:ascii="David" w:hAnsi="David"/>
          <w:u w:val="single"/>
          <w:rtl/>
        </w:rPr>
      </w:pPr>
      <w:r>
        <w:rPr>
          <w:rFonts w:ascii="David" w:hAnsi="David"/>
          <w:u w:val="single"/>
          <w:rtl/>
        </w:rPr>
        <w:t>הפגיעה בתאונה הראשונה</w:t>
      </w:r>
    </w:p>
    <w:p w:rsidR="00CF7D66" w:rsidRDefault="00CF7D66" w:rsidP="00CF7D66">
      <w:pPr>
        <w:spacing w:line="360" w:lineRule="auto"/>
        <w:jc w:val="both"/>
        <w:rPr>
          <w:rFonts w:ascii="David" w:hAnsi="David"/>
          <w:u w:val="single"/>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על פי הנטען בכתב התביעה, כמו גם בתצהיר עדותו הראשית של התובע (ס' 11-2 לתצהירו), לאחר התאונה הראשונה הובהל התובע באמבולנס לחדר המיון בבית החולים "קפלן" כשהוא סובל מסחרחורות, בחילות וכאבים בברכיים ובגב. </w:t>
      </w:r>
    </w:p>
    <w:p w:rsidR="00CF7D66" w:rsidRDefault="00CF7D66" w:rsidP="00CF7D66">
      <w:pPr>
        <w:pStyle w:val="a3"/>
        <w:tabs>
          <w:tab w:val="left" w:pos="368"/>
        </w:tabs>
        <w:spacing w:line="360" w:lineRule="auto"/>
        <w:ind w:left="368"/>
        <w:jc w:val="both"/>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מאז שחרורו מבית החולים, טופל התובע בקופת חולים כשהוא ממשיך לסבול מכאבים בגב, בברכיים, בצוואר, בראש, בשורש כפות הידיים והחמרה בכתף ימין שנפגעה בתאונת דרכים קודמת משנת 2005. התובע ביצע שתי סדרות של טיפולי פיזיותרפיה שלטענתו הועילו במקצת.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ביום 4.11.14 ביצע התובע בדיקת </w:t>
      </w:r>
      <w:r>
        <w:rPr>
          <w:rFonts w:ascii="David" w:hAnsi="David" w:cs="David"/>
          <w:sz w:val="24"/>
          <w:szCs w:val="24"/>
        </w:rPr>
        <w:t>MRI</w:t>
      </w:r>
      <w:r>
        <w:rPr>
          <w:rFonts w:ascii="David" w:hAnsi="David" w:cs="David"/>
          <w:sz w:val="24"/>
          <w:szCs w:val="24"/>
          <w:rtl/>
        </w:rPr>
        <w:t xml:space="preserve"> בכתף הימנית שהדגימה פגיעה חדשה והחמרה במצב הכתף וקרע בגיד הסדופראספינטוס. לטענתו החל לסבול מכאב שמעיר אותו משינה, כמו גם מתחושת נימול ברגליים, שבעקבותיו ביצע ביום 15.2.18 בדיקת </w:t>
      </w:r>
      <w:r>
        <w:rPr>
          <w:rFonts w:ascii="David" w:hAnsi="David" w:cs="David"/>
          <w:sz w:val="24"/>
          <w:szCs w:val="24"/>
        </w:rPr>
        <w:t>EMG</w:t>
      </w:r>
      <w:r>
        <w:rPr>
          <w:rFonts w:ascii="David" w:hAnsi="David" w:cs="David"/>
          <w:sz w:val="24"/>
          <w:szCs w:val="24"/>
          <w:rtl/>
        </w:rPr>
        <w:t xml:space="preserve"> שהדגימה </w:t>
      </w:r>
      <w:r>
        <w:rPr>
          <w:rFonts w:ascii="David" w:hAnsi="David" w:cs="David"/>
          <w:sz w:val="24"/>
          <w:szCs w:val="24"/>
        </w:rPr>
        <w:t>CTS</w:t>
      </w:r>
      <w:r>
        <w:rPr>
          <w:rFonts w:ascii="David" w:hAnsi="David" w:cs="David"/>
          <w:sz w:val="24"/>
          <w:szCs w:val="24"/>
          <w:rtl/>
        </w:rPr>
        <w:t xml:space="preserve"> דו צדדי. </w:t>
      </w:r>
    </w:p>
    <w:p w:rsidR="00CF7D66" w:rsidRDefault="00CF7D66" w:rsidP="00CF7D66">
      <w:pPr>
        <w:rPr>
          <w:rFonts w:ascii="David" w:hAnsi="David"/>
          <w:u w:val="single"/>
        </w:rPr>
      </w:pPr>
      <w:r>
        <w:rPr>
          <w:rFonts w:ascii="David" w:hAnsi="David"/>
          <w:u w:val="single"/>
          <w:rtl/>
        </w:rPr>
        <w:t xml:space="preserve">הפגיעה בתאונה השנייה </w:t>
      </w:r>
    </w:p>
    <w:p w:rsidR="00CF7D66" w:rsidRDefault="00CF7D66" w:rsidP="00CF7D66">
      <w:pPr>
        <w:rPr>
          <w:rFonts w:ascii="David" w:hAnsi="David"/>
          <w:u w:val="single"/>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לאחר שנפגע התובע בתאונה השנייה, הוא הובהל באמבולנס לחדר המיון בבית החולים "קפלן" כשהוא סובל מכאבים ברגליים, בברכיים ובגב לרבות רגישות בעמוד השדרה. </w:t>
      </w:r>
    </w:p>
    <w:p w:rsidR="00CF7D66" w:rsidRDefault="00CF7D66" w:rsidP="00CF7D66">
      <w:pPr>
        <w:pStyle w:val="a3"/>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התובע המשיך בטיפול רפואי בקופת החולים שם התלונן על כאבים ומגבלות תנועה בצוואר, בגב, בידיים, ברגליים ומצפצופים באוזניים.</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צילום </w:t>
      </w:r>
      <w:r>
        <w:rPr>
          <w:rFonts w:ascii="David" w:hAnsi="David" w:cs="David"/>
          <w:sz w:val="24"/>
          <w:szCs w:val="24"/>
        </w:rPr>
        <w:t>CT</w:t>
      </w:r>
      <w:r>
        <w:rPr>
          <w:rFonts w:ascii="David" w:hAnsi="David" w:cs="David"/>
          <w:sz w:val="24"/>
          <w:szCs w:val="24"/>
          <w:rtl/>
        </w:rPr>
        <w:t xml:space="preserve"> שביצע ביום 16.10.18 הדגים שבר דחיסה בחוליה </w:t>
      </w:r>
      <w:r>
        <w:rPr>
          <w:rFonts w:ascii="David" w:hAnsi="David" w:cs="David"/>
          <w:sz w:val="24"/>
          <w:szCs w:val="24"/>
        </w:rPr>
        <w:t>D-12</w:t>
      </w:r>
      <w:r>
        <w:rPr>
          <w:rFonts w:ascii="David" w:hAnsi="David" w:cs="David"/>
          <w:sz w:val="24"/>
          <w:szCs w:val="24"/>
          <w:rtl/>
        </w:rPr>
        <w:t xml:space="preserve"> ובלטי דיסקים בין חוליות </w:t>
      </w:r>
      <w:r>
        <w:rPr>
          <w:rFonts w:ascii="David" w:hAnsi="David" w:cs="David"/>
          <w:sz w:val="24"/>
          <w:szCs w:val="24"/>
        </w:rPr>
        <w:t>L-5 – L3</w:t>
      </w:r>
      <w:r>
        <w:rPr>
          <w:rFonts w:ascii="David" w:hAnsi="David" w:cs="David"/>
          <w:sz w:val="24"/>
          <w:szCs w:val="24"/>
          <w:rtl/>
        </w:rPr>
        <w:t>.</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בכתב התביעה טען התובע, כי מאז שתי התאונות ובעקבותיהן שהה בתקופת אי כושר ממושכת ונזקק לטיפולים רפואיים רבים לרבות טיפולי פיזיותרפיה, טיפולים פרא-רפואיים, פילאטיס, הידרותרפיה, ריפוי בעיסוק, מדיטציה וטיפולים תרופתיים. כמו כן, פנה פעמים רבות למומחים בתחום האורתופדי ועד היום הוא מצוי במעקב רפואי ושיקומי לאור השפעת הפגיעה על גופו, כאשר לטענתו מצבו הרפואי התדרדר עוד יותר לאחר התאונה השנייה.</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לכתב התביעה צורפה בקשת התובע למינוי מומחים רפואיים בתחום האורתופדי, הנוירולוגי והכאב. בשלב ראשון מונה לתובע מומחה בתחום האורתופדי בלבד – ד"ר משה לוינקופף (להלן: "</w:t>
      </w:r>
      <w:r>
        <w:rPr>
          <w:rFonts w:ascii="David" w:hAnsi="David" w:cs="David"/>
          <w:b/>
          <w:bCs/>
          <w:sz w:val="24"/>
          <w:szCs w:val="24"/>
          <w:rtl/>
        </w:rPr>
        <w:t>המומחה האורתופדי</w:t>
      </w:r>
      <w:r>
        <w:rPr>
          <w:rFonts w:ascii="David" w:hAnsi="David" w:cs="David"/>
          <w:sz w:val="24"/>
          <w:szCs w:val="24"/>
          <w:rtl/>
        </w:rPr>
        <w:t>").</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בחוות דעתו מיום 22.1.21 קבע המומחה האורתופדי לתובע נכות רפואית זמנית בשיעור של 100% למשך 4-6 שבועות בעקבות כל אחת מהתאונות, ונכות צמיתה בשיעור 6.25% בגין כל אחת מהתאונות אשר חושבו כדלקמן: </w:t>
      </w:r>
    </w:p>
    <w:p w:rsidR="00CF7D66" w:rsidRDefault="00CF7D66" w:rsidP="00CF7D66">
      <w:pPr>
        <w:pStyle w:val="a3"/>
        <w:rPr>
          <w:rFonts w:ascii="David" w:hAnsi="David" w:cs="David"/>
          <w:sz w:val="24"/>
          <w:szCs w:val="24"/>
        </w:rPr>
      </w:pPr>
    </w:p>
    <w:p w:rsidR="00CF7D66" w:rsidRDefault="00CF7D66" w:rsidP="00CF7D66">
      <w:pPr>
        <w:pStyle w:val="a3"/>
        <w:tabs>
          <w:tab w:val="left" w:pos="368"/>
        </w:tabs>
        <w:spacing w:line="360" w:lineRule="auto"/>
        <w:ind w:left="368"/>
        <w:jc w:val="both"/>
        <w:rPr>
          <w:rFonts w:ascii="David" w:hAnsi="David" w:cs="David"/>
          <w:sz w:val="24"/>
          <w:szCs w:val="24"/>
          <w:rtl/>
        </w:rPr>
      </w:pPr>
      <w:r>
        <w:rPr>
          <w:rFonts w:ascii="David" w:hAnsi="David" w:cs="David"/>
          <w:sz w:val="24"/>
          <w:szCs w:val="24"/>
          <w:rtl/>
        </w:rPr>
        <w:t>5% בגין תחלואת ע"ש צווארי לפי סעיף 37(5)א' לתקנות הביטוח הלאומי (קביעת דרגת נכות לנפגעי עבודה), התשט"ז – 1956 (להלן – "</w:t>
      </w:r>
      <w:r>
        <w:rPr>
          <w:rFonts w:ascii="David" w:hAnsi="David" w:cs="David"/>
          <w:b/>
          <w:bCs/>
          <w:sz w:val="24"/>
          <w:szCs w:val="24"/>
          <w:rtl/>
        </w:rPr>
        <w:t>תקנות המל"ל</w:t>
      </w:r>
      <w:r>
        <w:rPr>
          <w:rFonts w:ascii="David" w:hAnsi="David" w:cs="David"/>
          <w:sz w:val="24"/>
          <w:szCs w:val="24"/>
          <w:rtl/>
        </w:rPr>
        <w:t xml:space="preserve">", מתוך 10% נכות כוללת בתחום זה ולאחר ניכוי מחצית בגין מצב רפואי קודם) בגין התאונה הראשונה; </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tabs>
          <w:tab w:val="left" w:pos="368"/>
        </w:tabs>
        <w:spacing w:line="360" w:lineRule="auto"/>
        <w:ind w:left="368"/>
        <w:jc w:val="both"/>
        <w:rPr>
          <w:rFonts w:ascii="David" w:hAnsi="David" w:cs="David"/>
          <w:sz w:val="24"/>
          <w:szCs w:val="24"/>
          <w:rtl/>
        </w:rPr>
      </w:pPr>
      <w:r>
        <w:rPr>
          <w:rFonts w:ascii="David" w:hAnsi="David" w:cs="David"/>
          <w:sz w:val="24"/>
          <w:szCs w:val="24"/>
          <w:rtl/>
        </w:rPr>
        <w:t xml:space="preserve">5% בגין תחלואת ע"ש מותני לפי סעיף 37(8)א' לתקנות המל"ל בגין התאונה השנייה;  </w:t>
      </w:r>
    </w:p>
    <w:p w:rsidR="00CF7D66" w:rsidRDefault="00CF7D66" w:rsidP="00CF7D66">
      <w:pPr>
        <w:pStyle w:val="a3"/>
        <w:tabs>
          <w:tab w:val="left" w:pos="368"/>
        </w:tabs>
        <w:spacing w:line="360" w:lineRule="auto"/>
        <w:ind w:left="368"/>
        <w:jc w:val="both"/>
        <w:rPr>
          <w:rFonts w:ascii="David" w:hAnsi="David" w:cs="David"/>
          <w:sz w:val="24"/>
          <w:szCs w:val="24"/>
          <w:rtl/>
        </w:rPr>
      </w:pPr>
    </w:p>
    <w:p w:rsidR="00CF7D66" w:rsidRDefault="00CF7D66" w:rsidP="00CF7D66">
      <w:pPr>
        <w:pStyle w:val="a3"/>
        <w:tabs>
          <w:tab w:val="left" w:pos="368"/>
        </w:tabs>
        <w:spacing w:line="360" w:lineRule="auto"/>
        <w:ind w:left="368"/>
        <w:jc w:val="both"/>
        <w:rPr>
          <w:rFonts w:ascii="David" w:hAnsi="David" w:cs="David"/>
          <w:sz w:val="24"/>
          <w:szCs w:val="24"/>
          <w:rtl/>
        </w:rPr>
      </w:pPr>
      <w:r>
        <w:rPr>
          <w:rFonts w:ascii="David" w:hAnsi="David" w:cs="David"/>
          <w:sz w:val="24"/>
          <w:szCs w:val="24"/>
          <w:rtl/>
        </w:rPr>
        <w:t>2.5% בגין תחלואת כתף ימין לפי סעיף 35(1)ב' לתקנות המל"ל (לאחר ניכוי 3/4 בגין מצב רפואי קודם) אותם יש לחלק באופן שווה בין שתי התאונות.</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אשר על כן, נכותו הרפואית המשוקללת של התובע בקשר עם התאונה הראשונה עומדת על שיעור של 6.19% (ובעיגול 6.2%).</w:t>
      </w:r>
    </w:p>
    <w:p w:rsidR="00CF7D66" w:rsidRDefault="00CF7D66" w:rsidP="00CF7D66">
      <w:pPr>
        <w:pStyle w:val="a3"/>
        <w:tabs>
          <w:tab w:val="left" w:pos="368"/>
        </w:tabs>
        <w:spacing w:line="360" w:lineRule="auto"/>
        <w:ind w:left="368"/>
        <w:jc w:val="both"/>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אשר לתאונה השנייה, במענה לשאלת הבהרה שהפנה התובע למומחה האורתופדי ביחס לשבר בחוליה </w:t>
      </w:r>
      <w:r>
        <w:rPr>
          <w:rFonts w:ascii="David" w:hAnsi="David" w:cs="David"/>
          <w:sz w:val="24"/>
          <w:szCs w:val="24"/>
        </w:rPr>
        <w:t>T-12</w:t>
      </w:r>
      <w:r>
        <w:rPr>
          <w:rFonts w:ascii="David" w:hAnsi="David" w:cs="David"/>
          <w:sz w:val="24"/>
          <w:szCs w:val="24"/>
          <w:rtl/>
        </w:rPr>
        <w:t>, ציין המומחה כדלקמן:</w:t>
      </w:r>
    </w:p>
    <w:p w:rsidR="00CF7D66" w:rsidRDefault="00CF7D66" w:rsidP="00CF7D66">
      <w:pPr>
        <w:pStyle w:val="a3"/>
        <w:rPr>
          <w:rFonts w:ascii="David" w:hAnsi="David" w:cs="David"/>
          <w:sz w:val="24"/>
          <w:szCs w:val="24"/>
        </w:rPr>
      </w:pPr>
    </w:p>
    <w:p w:rsidR="00CF7D66" w:rsidRDefault="00CF7D66" w:rsidP="00CF7D66">
      <w:pPr>
        <w:pStyle w:val="a3"/>
        <w:tabs>
          <w:tab w:val="left" w:pos="368"/>
        </w:tabs>
        <w:spacing w:line="360" w:lineRule="auto"/>
        <w:ind w:left="368"/>
        <w:jc w:val="both"/>
        <w:rPr>
          <w:rFonts w:ascii="David" w:hAnsi="David" w:cs="David"/>
          <w:sz w:val="24"/>
          <w:szCs w:val="24"/>
        </w:rPr>
      </w:pPr>
      <w:r>
        <w:rPr>
          <w:rFonts w:ascii="David" w:hAnsi="David" w:cs="David"/>
          <w:sz w:val="24"/>
          <w:szCs w:val="24"/>
          <w:rtl/>
        </w:rPr>
        <w:t xml:space="preserve">"לנ"ל נקבעה נכות בגין תחלואת ע"ש מתני עקב הגבלה בטווח התנועות, איני מכיר את הצורך לקבוע את הנכות בגין השבר וגם בגין הגבלה בטווח התנועות. לו נדרשתי לקבוע את הנכות בגין השבר בחוליה </w:t>
      </w:r>
      <w:r>
        <w:rPr>
          <w:rFonts w:ascii="David" w:hAnsi="David" w:cs="David"/>
          <w:sz w:val="24"/>
          <w:szCs w:val="24"/>
        </w:rPr>
        <w:t>T-12</w:t>
      </w:r>
      <w:r>
        <w:rPr>
          <w:rFonts w:ascii="David" w:hAnsi="David" w:cs="David"/>
          <w:sz w:val="24"/>
          <w:szCs w:val="24"/>
          <w:rtl/>
        </w:rPr>
        <w:t xml:space="preserve"> הרי שהנכות הייתה 5% לפי סעיף 37(8)א', סעיף העוסק בשבר בחוליה </w:t>
      </w:r>
      <w:r>
        <w:rPr>
          <w:rFonts w:ascii="David" w:hAnsi="David" w:cs="David"/>
          <w:sz w:val="24"/>
          <w:szCs w:val="24"/>
          <w:u w:val="single"/>
          <w:rtl/>
        </w:rPr>
        <w:t>ולא</w:t>
      </w:r>
      <w:r>
        <w:rPr>
          <w:rFonts w:ascii="David" w:hAnsi="David" w:cs="David"/>
          <w:sz w:val="24"/>
          <w:szCs w:val="24"/>
          <w:rtl/>
        </w:rPr>
        <w:t xml:space="preserve"> הגבלה בטווח התנועות".</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לטענת התובע, המומחה הוסיף לו נכות בשיעור 5% בגין שבר זה לפי סעיף 37(8) לתקנות המל"ל בגין התאונה השנייה, באופן שמגדיל את שיעור הנכות הרפואית (והתפקודית) שלו בקשר עם התאונה השנייה ל – 10.87%. בסיכומיו ציין, כי לאור קביעת המומחה והפסיקה במקרים דומים, ברור כי יש לעדכן את שיעור הנכות הרפואית שלו כך שתיתוסף גם הנכות בגין השבר בחוליה. </w:t>
      </w:r>
    </w:p>
    <w:p w:rsidR="00CF7D66" w:rsidRDefault="00CF7D66" w:rsidP="00CF7D66">
      <w:pPr>
        <w:pStyle w:val="a3"/>
        <w:tabs>
          <w:tab w:val="left" w:pos="368"/>
        </w:tabs>
        <w:spacing w:line="360" w:lineRule="auto"/>
        <w:ind w:left="368"/>
        <w:jc w:val="both"/>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עוד הוסיף התובע בסיכומיו, כי המומחה האורתופדי סטה מהתקנות ביחס לנכותו בעמ"ש התחתון מאחר שהיה צריך לקבוע לו נכות בשיעור של 10% בגין מגבלה קלה בטווחי העמ"ש התחתון לפי תקנה 37(7)א' לתקנות המל"ל ובמקום זאת המומחה קבע לו נכות בשיעור 5% לפי תקנה 37(8)א' הנוגעת לשבר בחוליה אותה ממילא היה אמור להוסיף לקביעתו.  התובע הבהיר בסיכומיו, כי הנכות בגין מגבלות התנועה בעמ"ש התחתון והנכות בגין השבר בחוליה הן נכויות שונות וקביעות שונות שאינן סותרות זו את זו ואינן בולעות אחת את השנייה, ולכל צד הזכות לטעון ולהסביר את השפעותיהן התפקודיות. </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לעומתו, הנתבעת 2 טענה בתחשיב הנזק מטעמה כי התובע שגה בפירוש שייחס לתשובת המומחה האורתופדי. לטענתה, מתשובת המומחה לשאלת ההבהרה עלה כי לשיטתו נכות בגין </w:t>
      </w:r>
      <w:r>
        <w:rPr>
          <w:rFonts w:ascii="David" w:hAnsi="David" w:cs="David"/>
          <w:sz w:val="24"/>
          <w:szCs w:val="24"/>
          <w:rtl/>
        </w:rPr>
        <w:lastRenderedPageBreak/>
        <w:t xml:space="preserve">השבר בחוליה </w:t>
      </w:r>
      <w:r>
        <w:rPr>
          <w:rFonts w:ascii="David" w:hAnsi="David" w:cs="David"/>
          <w:sz w:val="24"/>
          <w:szCs w:val="24"/>
        </w:rPr>
        <w:t>T-12</w:t>
      </w:r>
      <w:r>
        <w:rPr>
          <w:rFonts w:ascii="David" w:hAnsi="David" w:cs="David"/>
          <w:sz w:val="24"/>
          <w:szCs w:val="24"/>
          <w:rtl/>
        </w:rPr>
        <w:t xml:space="preserve"> חופפת לקביעת נכות לתובע בגין הגבלת התנועה. לפיכך, אין שינוי בשיעור נכות התובע בגין התאונה השנייה אשר נקבעה בחוות דעת המומחה האורתופדי מיום 22.1.21.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הנתבעת 2 הוסיפה וטענה בסיכומיה, כי על אף שכלל הצדדים האחרים לרבות בית המשפט פירשו את חוות דעת המומחה באופן שונה מהתובע, ובהינתן ספק ולו קל שבקלים – היה על התובע לזמן את המומחה האורתופדי לחקירה ומשלא עשה כן אין לו להלין אלא על עצמו.</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color w:val="000000"/>
          <w:sz w:val="24"/>
          <w:szCs w:val="24"/>
          <w:rtl/>
        </w:rPr>
      </w:pPr>
      <w:r>
        <w:rPr>
          <w:rFonts w:ascii="David" w:hAnsi="David" w:cs="David"/>
          <w:sz w:val="24"/>
          <w:szCs w:val="24"/>
          <w:rtl/>
        </w:rPr>
        <w:t xml:space="preserve">עיון בחוות דעתו של המומחה האורתופדי מיום 22.1.21 מלמד, כי בבדיקת ע"ש גבי/מתני של התובע הודגמה </w:t>
      </w:r>
      <w:r>
        <w:rPr>
          <w:rFonts w:ascii="David" w:hAnsi="David" w:cs="David"/>
          <w:b/>
          <w:bCs/>
          <w:sz w:val="24"/>
          <w:szCs w:val="24"/>
          <w:rtl/>
        </w:rPr>
        <w:t>"הגבלה קלה בטווח התנועות ביישור וכיפוף בלבד, שאר מישורי הטווח מלאים ואין עדות לגירוי שורשי או קיפוח עצבי"</w:t>
      </w:r>
      <w:r>
        <w:rPr>
          <w:rFonts w:ascii="David" w:hAnsi="David" w:cs="David"/>
          <w:sz w:val="24"/>
          <w:szCs w:val="24"/>
          <w:rtl/>
        </w:rPr>
        <w:t xml:space="preserve"> (ההדגשה שלי – מר"א). המומחה קבע לתובע נכות בשיעור 5% לפי ס' 37(8)א' לתקנות המל"ל בגין מגבלה זו.</w:t>
      </w:r>
    </w:p>
    <w:p w:rsidR="00CF7D66" w:rsidRDefault="00CF7D66" w:rsidP="00CF7D66">
      <w:pPr>
        <w:pStyle w:val="a3"/>
        <w:rPr>
          <w:rFonts w:ascii="David" w:hAnsi="David" w:cs="David"/>
          <w:color w:val="000000"/>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ס' 37(8)א לתקנות המל"ל מתייחס ל"שבר של גוף חוליה שהתרפא בלי תזוזה ניכרת ובלי הגבלת התנועה של עמוד השדרה בקרבת החוליה הזו" וקובע לצדו נכות בשיעור 5%.</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לכאורה, קביעת הנכות בגין המגבלה בתאונה אמורה הייתה להתבצע לפי ס' 37(7)(א) לתקנות המל"ל, המתייחס להגבלת התנועות בעמוד השדרה המתני בצורה קלה, כטענת התובע. </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חיזוק למסקנה זו ניתן למצוא במענה שהשיב המומחה לשאלת ההבהרה מטעם התובע, שם ציין כי הנכות שקבע לתובע בחוות דעתו התייחסה להגבלה בטווח התנועות, ולו נדרש לקבוע את הנכות בגין השבר בחוליה </w:t>
      </w:r>
      <w:r>
        <w:rPr>
          <w:rFonts w:ascii="David" w:hAnsi="David" w:cs="David"/>
          <w:sz w:val="24"/>
          <w:szCs w:val="24"/>
        </w:rPr>
        <w:t>T-12</w:t>
      </w:r>
      <w:r>
        <w:rPr>
          <w:rFonts w:ascii="David" w:hAnsi="David" w:cs="David"/>
          <w:sz w:val="24"/>
          <w:szCs w:val="24"/>
          <w:rtl/>
        </w:rPr>
        <w:t xml:space="preserve"> היה מדובר בנכות 5% לפי ס' 37(8)א שעוסק בשבר ולא בהגבלה בטווח התנועות - ללמדך שהמומחה התכוון מלכתחילה לייחס לתובע נכות בגין מגבלה בטווח התנועות, ויש להניח שכוונתו הייתה לסעיף 37((7)(א) ולא לסעיף 37(8)א לתקנות המל"ל.</w:t>
      </w:r>
    </w:p>
    <w:p w:rsidR="00CF7D66" w:rsidRDefault="00CF7D66" w:rsidP="00CF7D66">
      <w:pPr>
        <w:pStyle w:val="a3"/>
        <w:tabs>
          <w:tab w:val="left" w:pos="368"/>
        </w:tabs>
        <w:spacing w:line="360" w:lineRule="auto"/>
        <w:ind w:left="368"/>
        <w:jc w:val="both"/>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הגם שסעיף 37(7)(א) לתקנות המל"ל קובע בצדו נכות בשיעור 10%, אינני סבורה כי החלטת המומחה לייחס לתובע נכות בשיעור 5% בלבד בגין הגבלת טווח התנועות איננה בלתי סבירה בנסיבות, בשים לב לכך שהמומחה מצא מגבלה קלה בתנועה רק בחלק ממישורי התנועה של האיבר המדובר. מכל מקום, התובע בחר משיקוליו שלא לזמן את המומחה האורתופדי לחקירה על חוות דעתו, וזו לא נסתרה לעניין זה.</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אשר לנכות בגין השבר בחוליה </w:t>
      </w:r>
      <w:r>
        <w:rPr>
          <w:rFonts w:ascii="David" w:hAnsi="David" w:cs="David"/>
          <w:sz w:val="24"/>
          <w:szCs w:val="24"/>
        </w:rPr>
        <w:t>T-12</w:t>
      </w:r>
      <w:r>
        <w:rPr>
          <w:rFonts w:ascii="David" w:hAnsi="David" w:cs="David"/>
          <w:sz w:val="24"/>
          <w:szCs w:val="24"/>
          <w:rtl/>
        </w:rPr>
        <w:t xml:space="preserve">, עיון בחוזר המל"ל שצירף התובע לסיכומיו מלמד כי על פי הנחייה פנימית של המל"ל, מקום בו קיים שבר בחוליה שהתרפא ונמצא כי קיימת גם הגבלה בתנועות עמוד השדרה – יש לקבוע אחוזי נכות גם בגין ההגבלה בתנועות לפי הסעיף הרלוונטי מסעיף 37 לתקנות וגם בגין השבר בגוף החוליה לפי סעיף 37(8) לתקנות.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הדבר אף עולה בקנה אחד עם לשון סעיף 37(8) לתקנות המל"ל, ממנה עולה כי אין מדובר בנכות הכרוכה בהשפעה תפקודית כלשהי (שבר שהוביל לתזוזה שאין בה כדי להגביל את תנועת עמוד השדרה בקרבת החוליה שנשברה). בנוסף, גם קיימת פסיקה לא מבוטלת הגורסת כי נכות בגין </w:t>
      </w:r>
      <w:r>
        <w:rPr>
          <w:rFonts w:ascii="David" w:hAnsi="David" w:cs="David"/>
          <w:sz w:val="24"/>
          <w:szCs w:val="24"/>
          <w:rtl/>
        </w:rPr>
        <w:lastRenderedPageBreak/>
        <w:t>שבר ללא תזוזה אשר לא הותיר מגבלה ונכות בגין מגבלות תנועה אינן נכויות חופפות (ר' למשל </w:t>
      </w:r>
      <w:hyperlink r:id="rId7" w:tgtFrame="blank" w:history="1">
        <w:r>
          <w:rPr>
            <w:rStyle w:val="Hyperlink"/>
            <w:rFonts w:ascii="David" w:hAnsi="David" w:cs="David"/>
            <w:sz w:val="24"/>
            <w:szCs w:val="24"/>
            <w:rtl/>
          </w:rPr>
          <w:t>ת"א 26466-05</w:t>
        </w:r>
      </w:hyperlink>
      <w:r>
        <w:rPr>
          <w:rFonts w:ascii="David" w:hAnsi="David" w:cs="David"/>
          <w:sz w:val="24"/>
          <w:szCs w:val="24"/>
          <w:rtl/>
        </w:rPr>
        <w:t> </w:t>
      </w:r>
      <w:r>
        <w:rPr>
          <w:rFonts w:ascii="David" w:hAnsi="David" w:cs="David"/>
          <w:b/>
          <w:bCs/>
          <w:sz w:val="24"/>
          <w:szCs w:val="24"/>
          <w:rtl/>
        </w:rPr>
        <w:t>שבתאי נ' הפניקס הישראלי חברה לביטוח בע"מ </w:t>
      </w:r>
      <w:r>
        <w:rPr>
          <w:rFonts w:ascii="David" w:hAnsi="David" w:cs="David"/>
          <w:sz w:val="24"/>
          <w:szCs w:val="24"/>
          <w:rtl/>
        </w:rPr>
        <w:t xml:space="preserve">(11.10.2009)).  </w:t>
      </w:r>
    </w:p>
    <w:p w:rsidR="00CF7D66" w:rsidRDefault="00CF7D66" w:rsidP="00CF7D66">
      <w:pPr>
        <w:pStyle w:val="a3"/>
        <w:shd w:val="clear" w:color="auto" w:fill="FFFFFF"/>
        <w:spacing w:after="0" w:line="233" w:lineRule="atLeast"/>
        <w:rPr>
          <w:rFonts w:ascii="David" w:hAnsi="David" w:cs="David"/>
          <w:color w:val="000000"/>
          <w:sz w:val="24"/>
          <w:szCs w:val="24"/>
        </w:rPr>
      </w:pPr>
      <w:r>
        <w:rPr>
          <w:rFonts w:ascii="David" w:hAnsi="David" w:cs="David"/>
          <w:color w:val="000000"/>
          <w:sz w:val="24"/>
          <w:szCs w:val="24"/>
        </w:rPr>
        <w:t> </w:t>
      </w: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אשר על כן, אני סבורה כי אין מדובר בנכויות רפואיות חופפות וכי יש להוסיף לנכותו הרפואית של התובע כתוצאה מהתאונה השנייה גם 5% נוספים לפי תקנה 37(8) לתקנות המל"ל, בהתאם למענה המומחה האורתופדי על שאלת ההבהרה. לכן נכותו הרפואית המשוקללת של התובע כתוצאה מהתאונה השנייה עומדת על 10.88% (ובעיגול 11%).</w:t>
      </w:r>
    </w:p>
    <w:p w:rsidR="00CF7D66" w:rsidRDefault="00CF7D66" w:rsidP="00CF7D66">
      <w:pPr>
        <w:pStyle w:val="a3"/>
        <w:tabs>
          <w:tab w:val="left" w:pos="368"/>
        </w:tabs>
        <w:spacing w:line="360" w:lineRule="auto"/>
        <w:ind w:left="368"/>
        <w:jc w:val="both"/>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למען שלמות התמונה אציין, כי לאחר קבלת חוות דעתו של המומחה האורתופדי ובהמשך לממצאי בדיקת </w:t>
      </w:r>
      <w:r>
        <w:rPr>
          <w:rFonts w:ascii="David" w:hAnsi="David" w:cs="David"/>
          <w:sz w:val="24"/>
          <w:szCs w:val="24"/>
        </w:rPr>
        <w:t>EMG</w:t>
      </w:r>
      <w:r>
        <w:rPr>
          <w:rFonts w:ascii="David" w:hAnsi="David" w:cs="David"/>
          <w:sz w:val="24"/>
          <w:szCs w:val="24"/>
          <w:rtl/>
        </w:rPr>
        <w:t xml:space="preserve"> שביצע התובע ביום 17.11.21, הגיש התובע בקשה לעיון חוזר בבקשתו למינוי מומחים רפואיים גם בתחום הנוירולוגי והכאב. בית המשפט נעתר חלקית לבקשה ומינה את ד"ר רון דבי כמומחה רפואי בתחום הנוירולוגיה (להלן: "</w:t>
      </w:r>
      <w:r>
        <w:rPr>
          <w:rFonts w:ascii="David" w:hAnsi="David" w:cs="David"/>
          <w:b/>
          <w:bCs/>
          <w:sz w:val="24"/>
          <w:szCs w:val="24"/>
          <w:rtl/>
        </w:rPr>
        <w:t>המומחה הנוירולוגי</w:t>
      </w:r>
      <w:r>
        <w:rPr>
          <w:rFonts w:ascii="David" w:hAnsi="David" w:cs="David"/>
          <w:sz w:val="24"/>
          <w:szCs w:val="24"/>
          <w:rtl/>
        </w:rPr>
        <w:t xml:space="preserve">"). </w:t>
      </w:r>
    </w:p>
    <w:p w:rsidR="00CF7D66" w:rsidRDefault="00CF7D66" w:rsidP="00CF7D66">
      <w:pPr>
        <w:pStyle w:val="a3"/>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בחוות דעתו של המומחה הנוירולוגי מיום 1.5.22 קבע המומחה, כי לתובע לא נותרה נכות כלשהי בתחום הנוירולוגי, כי מצבו הרפואי של התובע יציב וכי התובע אינו צפוי להזדקק לטיפולים רפואיים בעתיד.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עוד יוער, כי המוסד לביטוח לאומי (להלן – "</w:t>
      </w:r>
      <w:r>
        <w:rPr>
          <w:rFonts w:ascii="David" w:hAnsi="David" w:cs="David"/>
          <w:b/>
          <w:bCs/>
          <w:sz w:val="24"/>
          <w:szCs w:val="24"/>
          <w:rtl/>
        </w:rPr>
        <w:t>המל"ל</w:t>
      </w:r>
      <w:r>
        <w:rPr>
          <w:rFonts w:ascii="David" w:hAnsi="David" w:cs="David"/>
          <w:sz w:val="24"/>
          <w:szCs w:val="24"/>
          <w:rtl/>
        </w:rPr>
        <w:t>") הכיר בפגיעתו של התובע בכל אחת מהתאונות כתאונת עבודה, וקבע לו בגין כל אחת מהתאונות נכות משוקללת בשיעור 7.31%. מאחר שמונו בתיק מומחים מטעם ביהמ"ש – הרי שקביעת המל"ל לעניין זה אינה מחייבת והובאה למעלה מן הנדרש ואך כדי שלא יימצא הנייר חסר.</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אשר על כן, נכותו הרפואית המשוקללת של התובע בגין התאונה הראשונה עומדת על 6.2%, ונכותו הרפואית המשוקללת בגין התאונה השנייה עומדת על 11%.</w:t>
      </w:r>
    </w:p>
    <w:p w:rsidR="00CF7D66" w:rsidRDefault="00CF7D66" w:rsidP="00CF7D66">
      <w:pPr>
        <w:tabs>
          <w:tab w:val="left" w:pos="368"/>
        </w:tabs>
        <w:spacing w:line="360" w:lineRule="auto"/>
        <w:jc w:val="both"/>
        <w:rPr>
          <w:rFonts w:ascii="David" w:hAnsi="David"/>
          <w:b/>
          <w:bCs/>
          <w:u w:val="single"/>
        </w:rPr>
      </w:pPr>
      <w:r>
        <w:rPr>
          <w:rFonts w:ascii="David" w:hAnsi="David"/>
          <w:b/>
          <w:bCs/>
          <w:u w:val="single"/>
          <w:rtl/>
        </w:rPr>
        <w:t>הפגיעה התפקודית</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בכתב התביעה ציין התובע כי בעקבות התאונות נפגע כושר תפקודו היומיומי, הכאבים פוגעים ביכולתו לעמוד או לשהות בישיבה לאורך זמן, הוא אינו יכול להרים חפצים, אינו יכול לעזור במטלות הבית והוא חסר סבלנות. בתצהירו גם הוסיף כי בעקבות התאונה אינו יכול לעזור ולבצע את מטלות הבית ועיקר הנטל נופל על אשתו (ס' 8-7 לתצהירו).   </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בתצהירו הוסיף וטען התובע כי הוא נושק לגיל 40, הכאבים והמגבלות מקשים עליו עוד יותר בעבודה ובכל פעולה בסיסית יחסית שהוא נדרש לבצע, ואין לו ספק כי ככל שיחלוף הזמן הדבר רק יגביל אותו יותר, ודאי כשרוב העבודות הפתוחות בפניו הן פיסיות (ס 15 לתצהירו).</w:t>
      </w:r>
    </w:p>
    <w:p w:rsidR="00CF7D66" w:rsidRDefault="00CF7D66" w:rsidP="00CF7D66">
      <w:pPr>
        <w:pStyle w:val="a3"/>
        <w:rPr>
          <w:rFonts w:ascii="David" w:hAnsi="David" w:cs="David"/>
          <w:sz w:val="24"/>
          <w:szCs w:val="24"/>
        </w:rPr>
      </w:pPr>
    </w:p>
    <w:p w:rsidR="00CF7D66" w:rsidRDefault="00CF7D66" w:rsidP="0092293E">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בתחשיב הנזק מטעמו ובסיכומיו הבהיר התובע, כי הוא נטול השכלה או הכשרה מקצועית מיוחדת, כי כל חייו עבד בעבודות פיסיות הכוללות אלמנטים ניהוליים של לוגיסטיקה ובפועל בשנותיו האחרונות הינו מחסנאי. לטענתו, במועד הגשת התביעה עבד כמנהל ומפעיל מרכז </w:t>
      </w:r>
      <w:r>
        <w:rPr>
          <w:rFonts w:ascii="David" w:hAnsi="David" w:cs="David"/>
          <w:sz w:val="24"/>
          <w:szCs w:val="24"/>
          <w:rtl/>
        </w:rPr>
        <w:lastRenderedPageBreak/>
        <w:t>לוגיסטי בחברת "</w:t>
      </w:r>
      <w:r w:rsidR="0092293E">
        <w:rPr>
          <w:rFonts w:ascii="David" w:hAnsi="David" w:cs="David" w:hint="cs"/>
          <w:sz w:val="24"/>
          <w:szCs w:val="24"/>
        </w:rPr>
        <w:t>XXX</w:t>
      </w:r>
      <w:r>
        <w:rPr>
          <w:rFonts w:ascii="David" w:hAnsi="David" w:cs="David"/>
          <w:sz w:val="24"/>
          <w:szCs w:val="24"/>
          <w:rtl/>
        </w:rPr>
        <w:t>". בחלוף הזמן ועקב ירידה הדרגתית בתפקודו הוא פוטר ומשך כשנה וחצי קיבל דמי אבטלה, ונכון למועד הגשת הסיכומים ובזכות קשרים משפחתיים הצליח למצוא עבודה חדשה בתחום ה</w:t>
      </w:r>
      <w:r w:rsidR="0092293E">
        <w:rPr>
          <w:rFonts w:ascii="David" w:hAnsi="David" w:cs="David" w:hint="cs"/>
          <w:sz w:val="24"/>
          <w:szCs w:val="24"/>
        </w:rPr>
        <w:t>XXX</w:t>
      </w:r>
      <w:r>
        <w:rPr>
          <w:rFonts w:ascii="David" w:hAnsi="David" w:cs="David"/>
          <w:sz w:val="24"/>
          <w:szCs w:val="24"/>
          <w:rtl/>
        </w:rPr>
        <w:t xml:space="preserve"> – שהינה עבודה פיסית המחייבת אותו כל היום להיות בחוץ ולנהוג בשטח.</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התובע הוסיף וטען בסיכומיו, כי הגם שהשביח את שכרו בין התאונה הראשונה לשנייה – כיום ולאחר התאונה השנייה לא השביח את שכרו, הוא מרוויח פחות בעבודה שאינו אוהב, מדובר בעבודה פיסית בחוץ ולא ברור כמה זמן יוכל להחזיק בה.</w:t>
      </w:r>
      <w:r>
        <w:rPr>
          <w:rFonts w:ascii="David" w:hAnsi="David" w:cs="David"/>
          <w:sz w:val="24"/>
          <w:szCs w:val="24"/>
        </w:rPr>
        <w:t xml:space="preserve">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לטענתו גם אם לכאורה מדובר בנכויות נמוכות ביחס לכל אחת מהתאונות בנפרד, מכלול הנכות והתוספת שלה לנכות הקודמת הינה גבוהה ומשמעותית מאוד. בהתאם, יש להעמיד את שיעור נכותו התפקודית, לכל הפחות, על מלוא שיעור נכותו הרפואית (16.5%), בפרט מקום שהמומחה האורתופדי טעה ביחס לשיעור נכותו הרפואית בגב התחתון. עוד הפנה התובע לחוזר המל"ל בעניין קביעת הנכות בגין שבר בחוליה בעמוד השדרה כשקיימת הגבלת תנועות בעמ"ש וטען, כי מאחר שהנכות בגין השבר בחוליה מתייחסת לשבר דחיסה בחוליה, על פי הפסיקה, מדובר בנכות תפקודית לכל דבר.</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התובע הוסיף וטען כי כל פגיעותיו הן בתחום האורתופדי, והגם שהנכות בכתף בעקבות התאונות היא בשיעור 2.5%, הרי שבשים לב לנכות הקודמת באותו איבר – השפעתה השולית עולה, ויש לבחון את השפעת נכויותיו של התובע על עיסוקיו הפיסיים כמכלול ובהתייחס לנכות בעבר בלא קשר לתאונה, כאשר התאונה השנייה הייתה "הקש ששבר את גב הגמל מבחינתו".</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הנתבעת 1 מצדה לא חלקה על נכותו הרפואית של התובע בקשר עם התאונה הראשונה, ואולם טענה כי מדובר בשברירי נכות הנעדרים כל השלכה תפקודית על התובע (כאמור – הנתבעת 1 לא הגישה סיכומים מטעמה ונחשבת כמי שוויתרה על הגשתם).</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גם הנתבעת 2 טענה בתחשיבה כי הנכות המזערית של התובע בכתף אינה תפקודית כלל ונכותו הנוספת בשיעור 5% בעמ"ש מתני אף היא אינה תפקודית, ואמנם שכרו של התובע – העוסק בתפקיד ניהולי ולא פיסי, לא נפגע כלל לאחר התאונה השנייה ואף השביח.</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בסיכומים מטעמה, הצביעה הנתבעת 2 על היעדר מהימנותו של התובע כפי שמצאה ביטוי בחוות דעת מומחי ביהמ"ש בתיק; בסתירות שעלו מעדותו ומההשוואה בינה לבין עדות אשתו; בעובדה כי לא טרח לעדכן את בית המשפט ואת הצדדים כי החל לעבוד בעבודה חדשה החל מחודש 3/22; ובעובדה שייחס למומחה האורתופדי תשובה שונה מזו שהשיב בפועל במענה על שאלת ההבהרה. כל זאת, כדי ללמד על העדר מהימנות כללית ועל ניסיונות להאדרתה של הפגיעה התפקודית בנסיבות.</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הנתבעת 2 הוסיפה והפנתה בסיכומיה לתשובות שהשיב התובע לשאלות 32, 34 לשאלון שהופנה אליו (נ/1), ממנו ניתן ללמוד כי עיקר טרוניותיו בנושא התפקוד קשורות לעמ"ש הצווארי שם </w:t>
      </w:r>
      <w:r>
        <w:rPr>
          <w:rFonts w:ascii="David" w:hAnsi="David" w:cs="David"/>
          <w:sz w:val="24"/>
          <w:szCs w:val="24"/>
          <w:rtl/>
        </w:rPr>
        <w:lastRenderedPageBreak/>
        <w:t>נפגע בתאונה הראשונה דווקא, ולא הצביע בשום מקום כיצד הוחמר תפקודו כתוצאה מהתאונה השנייה.</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הנתבעת 2 גם הפנתה למעורבותו של התובע בקטטה ובאירועים פליליים אחרים שאינם מופיעים כבר ברישום הפלילי כדי ללמד על אופיו ועל כושר השתכרותו הפוטנציאלי של התובע.</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כידוע, הנכות התפקודית באה להצביע על מידת הפגיעה בתפקוד שיש בנכות הרפואית, והיא בדרך כלל באה להצביע על מידת ההגבלה שמביאה עמה הנכות הרפואית (ר' </w:t>
      </w:r>
      <w:hyperlink r:id="rId8" w:history="1">
        <w:r>
          <w:rPr>
            <w:rStyle w:val="Hyperlink"/>
            <w:rFonts w:ascii="David" w:hAnsi="David" w:cs="David"/>
            <w:sz w:val="24"/>
            <w:szCs w:val="24"/>
            <w:rtl/>
          </w:rPr>
          <w:t>ע"א 3049/93</w:t>
        </w:r>
      </w:hyperlink>
      <w:r>
        <w:rPr>
          <w:rFonts w:ascii="David" w:hAnsi="David" w:cs="David"/>
          <w:sz w:val="24"/>
          <w:szCs w:val="24"/>
          <w:rtl/>
        </w:rPr>
        <w:t xml:space="preserve"> </w:t>
      </w:r>
      <w:r>
        <w:rPr>
          <w:rFonts w:ascii="David" w:hAnsi="David" w:cs="David"/>
          <w:b/>
          <w:bCs/>
          <w:sz w:val="24"/>
          <w:szCs w:val="24"/>
          <w:rtl/>
        </w:rPr>
        <w:t>גירוגיסיאן נ' רמזי</w:t>
      </w:r>
      <w:r>
        <w:rPr>
          <w:rFonts w:ascii="David" w:hAnsi="David" w:cs="David"/>
          <w:sz w:val="24"/>
          <w:szCs w:val="24"/>
          <w:rtl/>
        </w:rPr>
        <w:t>, פ"ד נב(3) 792 (1995), להלן – "</w:t>
      </w:r>
      <w:r>
        <w:rPr>
          <w:rFonts w:ascii="David" w:hAnsi="David" w:cs="David"/>
          <w:b/>
          <w:bCs/>
          <w:sz w:val="24"/>
          <w:szCs w:val="24"/>
          <w:rtl/>
        </w:rPr>
        <w:t>עניין גירוגיסיאן</w:t>
      </w:r>
      <w:r>
        <w:rPr>
          <w:rFonts w:ascii="David" w:hAnsi="David" w:cs="David"/>
          <w:sz w:val="24"/>
          <w:szCs w:val="24"/>
          <w:rtl/>
        </w:rPr>
        <w:t>").</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בעניין גירוגיסיאן (פס' 7 לפסק הדין) נקבע, כי לנתון של הנכות הרפואית יש, בדרך-כלל, משקל רב כשבאים לקבוע בכמה נפגע כושר השתכרותו של הנפגע. באותם מקרים שעתידו המקצועי של הנפגע בנכותו אינו ברור, ובאין נתונים אחרים שיהיה בהם לסייע בקביעת הגריעה מכושר ההשתכרות עקב התאונה, יכול שיעור הנכות הרפואית אף לשמש מודד למידת הפגיעה בכושר ההשתכרות. כך נוהגים בתי-המשפט לפסוק במקרים שבהם אין להם נתונים אחרים לקבוע את כושרו של התובע להשתכר בנכותו. במקרים אלה קובע בית-המשפט את כושר השתכרותו של התובע לולא התאונה והוא נזקק לחזקה שכושר זה נפגע כשיעור אחוזי הנכות הרפואית (לעניין זה ר' גם </w:t>
      </w:r>
      <w:hyperlink r:id="rId9" w:history="1">
        <w:r>
          <w:rPr>
            <w:rStyle w:val="Hyperlink"/>
            <w:rFonts w:ascii="David" w:hAnsi="David" w:cs="David"/>
            <w:sz w:val="24"/>
            <w:szCs w:val="24"/>
            <w:rtl/>
          </w:rPr>
          <w:t>ע"א 2113/90</w:t>
        </w:r>
      </w:hyperlink>
      <w:r>
        <w:rPr>
          <w:rFonts w:ascii="David" w:hAnsi="David" w:cs="David"/>
          <w:sz w:val="24"/>
          <w:szCs w:val="24"/>
          <w:rtl/>
        </w:rPr>
        <w:t xml:space="preserve"> </w:t>
      </w:r>
      <w:r>
        <w:rPr>
          <w:rFonts w:ascii="David" w:hAnsi="David" w:cs="David"/>
          <w:b/>
          <w:bCs/>
          <w:sz w:val="24"/>
          <w:szCs w:val="24"/>
          <w:rtl/>
        </w:rPr>
        <w:t>אדלר נ' סוכנויות דרום בע"מ</w:t>
      </w:r>
      <w:r>
        <w:rPr>
          <w:rFonts w:ascii="David" w:hAnsi="David" w:cs="David"/>
          <w:sz w:val="24"/>
          <w:szCs w:val="24"/>
          <w:rtl/>
        </w:rPr>
        <w:t xml:space="preserve"> (21.12.1992), שם נבחנה הנכות התפקודית של נפגע שטרם יצא לשוק העבודה, ונקבע כי באין אינדיקציה משכנעת אחרת, ראוי בנסיבות העניין לקבוע שהנכות הרפואית משקפת את הנכות התפקודית של הנפגע ואת הירידה בכושר השתכרותו עקב התאונה (שם, בעמ' 366)).</w:t>
      </w:r>
    </w:p>
    <w:p w:rsidR="00CF7D66" w:rsidRDefault="00CF7D66" w:rsidP="00CF7D66">
      <w:pPr>
        <w:pStyle w:val="a3"/>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על מנת לקבוע את שיעור נכותו התפקודית של התובע שלפניי, עליי לבחון מה מידת השפעתה של הנכות הרפואית על יכולתו להוסיף ולתפקד כפי שעשה קודם לתאונה, וכיצד הנכות הרפואית השפיעה, אם בכלל, על יכולתו לבצע פעולות ולעסוק בעיסוקים בהם עסק קודם לכן כנגזרת של כישוריו, השכלתו ושאר מיומנויותיו של התובע הספציפי.</w:t>
      </w:r>
    </w:p>
    <w:p w:rsidR="00CF7D66" w:rsidRDefault="00CF7D66" w:rsidP="00CF7D66">
      <w:pPr>
        <w:pStyle w:val="a3"/>
        <w:tabs>
          <w:tab w:val="left" w:pos="368"/>
        </w:tabs>
        <w:spacing w:line="360" w:lineRule="auto"/>
        <w:ind w:left="368"/>
        <w:jc w:val="both"/>
        <w:rPr>
          <w:rFonts w:ascii="David" w:hAnsi="David" w:cs="David"/>
          <w:color w:val="000000"/>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color w:val="000000"/>
          <w:sz w:val="24"/>
          <w:szCs w:val="24"/>
          <w:rtl/>
        </w:rPr>
      </w:pPr>
      <w:r>
        <w:rPr>
          <w:rFonts w:ascii="David" w:hAnsi="David" w:cs="David"/>
          <w:color w:val="000000"/>
          <w:sz w:val="24"/>
          <w:szCs w:val="24"/>
          <w:rtl/>
        </w:rPr>
        <w:t>בענייננו, אינני סבורה כי התקיימו טעמים המצדיקים סטייה מהכלל המשווה בין הפגיעה התפקודית לנכות הרפואית, כפוף להסתייגות לפיה אינני מוצאת לנכון לייחס לנכות הרפואית בגין השבר בחוליה בעמ"ש פגיעה תפקודית, ואנמק.</w:t>
      </w:r>
    </w:p>
    <w:p w:rsidR="00CF7D66" w:rsidRDefault="00CF7D66" w:rsidP="00CF7D66">
      <w:pPr>
        <w:pStyle w:val="a3"/>
        <w:tabs>
          <w:tab w:val="left" w:pos="368"/>
        </w:tabs>
        <w:spacing w:line="360" w:lineRule="auto"/>
        <w:ind w:left="368"/>
        <w:jc w:val="both"/>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אין חולק על כך שהתובע עבר במהלך חייו מספר תאונות (שתיים מהן מושא תביעה זו), ועל כך שהתאונות הללו נתנו אותותיו בגופו בדמות נכות אורתופדית. אני גם נכונה להכיר בכך שהנכויות הללו גרמו ועודן גורמות לתובע לכאבים ולאי נוחות באופן שוטף.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בהקשר זה, אין באפשרותי להתעלם מעדותה של בת זוגו של התובע שציינה:" כואב לו הכתף, כואב לו הצוואר, כואב לו הגב, הידיים שלו כמו שאמרתי נופלים לו דברים מהידיים הוא לא </w:t>
      </w:r>
      <w:r>
        <w:rPr>
          <w:rFonts w:ascii="David" w:hAnsi="David" w:cs="David"/>
          <w:sz w:val="24"/>
          <w:szCs w:val="24"/>
          <w:rtl/>
        </w:rPr>
        <w:lastRenderedPageBreak/>
        <w:t>עוד...הוא לא טיפוס שיתלונן הוא לא בן אדם כזה.. הוא לא בן אדם שיבוא ויבכה...בעלי מאצ'ואיסט" (עמ' 18 שורות 26-17 לפרוטוקול).</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לצד זאת, דומני כי אין להפריז בהשלכותיהן של התאונות על התובע או בהשפעתן על תפקודו השוטף או על כושר ההשתכרות שלו, ומהעדויות שנשמעו לפניי ומחומר הראיות שהונח לפניי התרשמתי כי התובע ניסה להאדיר את השלכות התאונות ולהעצימן באופן מוגזם ומוקצן עד מאוד, ואנמק. </w:t>
      </w:r>
    </w:p>
    <w:p w:rsidR="00CF7D66" w:rsidRDefault="00CF7D66" w:rsidP="00CF7D66">
      <w:pPr>
        <w:pStyle w:val="a3"/>
        <w:rPr>
          <w:rFonts w:ascii="David" w:hAnsi="David" w:cs="David"/>
          <w:b/>
          <w:bCs/>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b/>
          <w:bCs/>
          <w:sz w:val="24"/>
          <w:szCs w:val="24"/>
        </w:rPr>
      </w:pPr>
      <w:r>
        <w:rPr>
          <w:rFonts w:ascii="David" w:hAnsi="David" w:cs="David"/>
          <w:b/>
          <w:bCs/>
          <w:sz w:val="24"/>
          <w:szCs w:val="24"/>
          <w:rtl/>
        </w:rPr>
        <w:t xml:space="preserve">ראשית, </w:t>
      </w:r>
      <w:r>
        <w:rPr>
          <w:rFonts w:ascii="David" w:hAnsi="David" w:cs="David"/>
          <w:sz w:val="24"/>
          <w:szCs w:val="24"/>
          <w:rtl/>
        </w:rPr>
        <w:t>התובע נמצא כמי שמסר דיווחים בלתי מהימנים (שלא לומר שקריים) לשני המומחים שמונו מטעם בית המשפט בתיק זה.</w:t>
      </w:r>
    </w:p>
    <w:p w:rsidR="00CF7D66" w:rsidRDefault="00CF7D66" w:rsidP="00CF7D66">
      <w:pPr>
        <w:pStyle w:val="a3"/>
        <w:rPr>
          <w:rFonts w:ascii="David" w:hAnsi="David" w:cs="David"/>
          <w:b/>
          <w:bCs/>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בתוך כך, בחוות דעתו של המומחה הנוירולוגי ציין המומחה כי "בבדיקתי, התובע דיווח על הפרעת תחושה שאינה מתיישבת בעליל עם ליקוי נוירולוגי אורגני. </w:t>
      </w:r>
      <w:r>
        <w:rPr>
          <w:rFonts w:ascii="David" w:hAnsi="David" w:cs="David"/>
          <w:b/>
          <w:bCs/>
          <w:sz w:val="24"/>
          <w:szCs w:val="24"/>
          <w:rtl/>
        </w:rPr>
        <w:t>בבדיקת תחושת המנח, הוא ענה באופן עקבי תשובה שגויה, על אף שהבין את השאלה, דבר המצביע על ניסיון להציג מצג שווא</w:t>
      </w:r>
      <w:r>
        <w:rPr>
          <w:rFonts w:ascii="David" w:hAnsi="David" w:cs="David"/>
          <w:sz w:val="24"/>
          <w:szCs w:val="24"/>
          <w:rtl/>
        </w:rPr>
        <w:t>. כמו כן, דיווחו על ירידה בתחושת המגע בארבע הגפיים לכל אורכן אינה מוסברת על ידי נזק עצבי כלשהו..." (ההדגשה שלי – מר"א), ללמדך על ניסיונות האדרה והצגת מצגי שווא מצד התובע באופן שכמובן אינו פועל לזכותו.</w:t>
      </w:r>
    </w:p>
    <w:p w:rsidR="00CF7D66" w:rsidRDefault="00CF7D66" w:rsidP="00CF7D66">
      <w:pPr>
        <w:pStyle w:val="a3"/>
        <w:rPr>
          <w:rFonts w:ascii="David" w:hAnsi="David" w:cs="David"/>
          <w:sz w:val="24"/>
          <w:szCs w:val="24"/>
        </w:rPr>
      </w:pPr>
    </w:p>
    <w:p w:rsidR="00CF7D66" w:rsidRDefault="00CF7D66" w:rsidP="0092293E">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בנוסף, התובע נבדק על ידי המומחה הנוירולוגי אי שם בחודש 4/22 או 5/22, לאחר שהחל לעבוד בתחום ה</w:t>
      </w:r>
      <w:r w:rsidR="0092293E">
        <w:rPr>
          <w:rFonts w:ascii="David" w:hAnsi="David" w:cs="David" w:hint="cs"/>
          <w:sz w:val="24"/>
          <w:szCs w:val="24"/>
        </w:rPr>
        <w:t>XXX</w:t>
      </w:r>
      <w:r>
        <w:rPr>
          <w:rFonts w:ascii="David" w:hAnsi="David" w:cs="David"/>
          <w:sz w:val="24"/>
          <w:szCs w:val="24"/>
          <w:rtl/>
        </w:rPr>
        <w:t>. למרות זאת ציין בפני המומחה כי אינו עובד (ר' חוות דעת המומחה הנוירולוגי, עמ' 40-39 לפרוטוקול). בחקירתו הנגדית, כאשר נתבקש להסביר את פשר ההסתרה לא סיפק הסבר מניח דעת וציין: " זה היה רק תחילת העבודה זה לא אני לא ידעתי אם אני אחזיק שם מעמד בכלל אני רק זה היה רק ניסיון אני רק ניסיתי להתחיל לעבוד אני לא זה יכול להיות זה עבודה מאוד קשוחה להיות כל היום בשמש בלי כלום בלי קפה בלי כלום כל היום תחת כיפת השמיים לא ידעתי אם אני אחזיק שם מעמד בכלל." התובע גם החל לתקוף את אופן עבודתו של המומחה (עמ' 40 שורות 34-13; עמ' 41 שורות 9-1 לפרוטוקול).</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על גילויי האדרה והעצמה של פגימות ניתן ללמוד גם מחוות דעתו של המומחה האורתופדי מיום 22.1.21 שם ציין, כי בדיקתו הקלינית של התובע הדגימה: "הגבלה קלה בטווח התנועות בכל המישורים בעמוד השדרה הצווארי, </w:t>
      </w:r>
      <w:r>
        <w:rPr>
          <w:rFonts w:ascii="David" w:hAnsi="David" w:cs="David"/>
          <w:b/>
          <w:bCs/>
          <w:sz w:val="24"/>
          <w:szCs w:val="24"/>
          <w:rtl/>
        </w:rPr>
        <w:t>ללא עדות לקיפוח עצבי למעט דיווח התובע על הפרעה בתחושה לאורך גף ימין עליון אשר לא תתכן במקרה זה</w:t>
      </w:r>
      <w:r>
        <w:rPr>
          <w:rFonts w:ascii="David" w:hAnsi="David" w:cs="David"/>
          <w:sz w:val="24"/>
          <w:szCs w:val="24"/>
          <w:rtl/>
        </w:rPr>
        <w:t xml:space="preserve">" – כך בלשון המומחה (ההדגשה שלי – מר"א). </w:t>
      </w:r>
    </w:p>
    <w:p w:rsidR="00CF7D66" w:rsidRDefault="00CF7D66" w:rsidP="00CF7D66">
      <w:pPr>
        <w:pStyle w:val="a3"/>
        <w:rPr>
          <w:rFonts w:ascii="David" w:hAnsi="David" w:cs="David"/>
          <w:sz w:val="24"/>
          <w:szCs w:val="24"/>
        </w:rPr>
      </w:pPr>
    </w:p>
    <w:p w:rsidR="00CF7D66" w:rsidRDefault="00CF7D66" w:rsidP="00CF7D66">
      <w:pPr>
        <w:pStyle w:val="a3"/>
        <w:tabs>
          <w:tab w:val="left" w:pos="368"/>
        </w:tabs>
        <w:spacing w:line="360" w:lineRule="auto"/>
        <w:ind w:left="368"/>
        <w:jc w:val="both"/>
        <w:rPr>
          <w:rFonts w:ascii="David" w:hAnsi="David" w:cs="David"/>
          <w:sz w:val="24"/>
          <w:szCs w:val="24"/>
          <w:rtl/>
        </w:rPr>
      </w:pPr>
      <w:r>
        <w:rPr>
          <w:rFonts w:ascii="David" w:hAnsi="David" w:cs="David"/>
          <w:sz w:val="24"/>
          <w:szCs w:val="24"/>
          <w:rtl/>
        </w:rPr>
        <w:t>גם כאן – התרשם מומחה ביהמ"ש מתלונות לא אמיתיות של התובע.</w:t>
      </w:r>
    </w:p>
    <w:p w:rsidR="00CF7D66" w:rsidRDefault="00CF7D66" w:rsidP="00CF7D66">
      <w:pPr>
        <w:pStyle w:val="a3"/>
        <w:rPr>
          <w:rFonts w:ascii="David" w:hAnsi="David" w:cs="David"/>
          <w:b/>
          <w:bCs/>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התובע בחר משיקוליו שלא לזמן את המומחים מטעם ביהמ"ש למתן עדות – והאמור בחוות הדעת מטעמם לא נסתר.</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b/>
          <w:bCs/>
          <w:sz w:val="24"/>
          <w:szCs w:val="24"/>
          <w:rtl/>
        </w:rPr>
        <w:lastRenderedPageBreak/>
        <w:t>שנית</w:t>
      </w:r>
      <w:r>
        <w:rPr>
          <w:rFonts w:ascii="David" w:hAnsi="David" w:cs="David"/>
          <w:sz w:val="24"/>
          <w:szCs w:val="24"/>
          <w:rtl/>
        </w:rPr>
        <w:t>, אשתו של התובע טענה כי: "אנחנו הולכים כל הזמן לרופאים כל פעם הוא הולך לרופא הולך לרופאת משפחה היא שלחה אותו למרפאת כאב שלחו אותו לנוירולוג הוא כל הזמן אבל עוד פעם כאילו זה כבר הגיע לשלב של מיצוי כבר אפילו היו רופאים שאמרו לעבור ניתוח והוא לא מעוניין בזה כי הוא לא יודע איך הוא ייצא מזה." (עמ' 10 שורות 18-15 לפרוטוקול).</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לא מצאתי כל הסבר מניח דעת לכך שנתונים אלו לא פורטו בתצהירי התביעה</w:t>
      </w:r>
      <w:r>
        <w:rPr>
          <w:rFonts w:ascii="David" w:hAnsi="David" w:cs="David"/>
          <w:b/>
          <w:bCs/>
          <w:sz w:val="24"/>
          <w:szCs w:val="24"/>
          <w:rtl/>
        </w:rPr>
        <w:t xml:space="preserve">, </w:t>
      </w:r>
      <w:r>
        <w:rPr>
          <w:rFonts w:ascii="David" w:hAnsi="David" w:cs="David"/>
          <w:sz w:val="24"/>
          <w:szCs w:val="24"/>
          <w:rtl/>
        </w:rPr>
        <w:t xml:space="preserve">והגם שהתובע הודה כי העביר את כל המסמכים הרפואיים שלו לבא-כוחו (עמ' 24 שורות 9-8 לפרוטוקול), לא מצאתי אזכור לטענות אלו במסמכים שצורפו לכתב התביעה או לתע"ר התובע, כאשר המסמכים הרפואיים המאוחרים ביותר שצורפו הם מחודש 12/18 ותוצאות בדיקת </w:t>
      </w:r>
      <w:r>
        <w:rPr>
          <w:rFonts w:ascii="David" w:hAnsi="David" w:cs="David"/>
          <w:sz w:val="24"/>
          <w:szCs w:val="24"/>
        </w:rPr>
        <w:t>EMG</w:t>
      </w:r>
      <w:r>
        <w:rPr>
          <w:rFonts w:ascii="David" w:hAnsi="David" w:cs="David"/>
          <w:sz w:val="24"/>
          <w:szCs w:val="24"/>
          <w:rtl/>
        </w:rPr>
        <w:t xml:space="preserve"> יחידה מחודש 11/21.</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b/>
          <w:bCs/>
          <w:sz w:val="24"/>
          <w:szCs w:val="24"/>
          <w:rtl/>
        </w:rPr>
        <w:t xml:space="preserve">שלישית, </w:t>
      </w:r>
      <w:r>
        <w:rPr>
          <w:rFonts w:ascii="David" w:hAnsi="David" w:cs="David"/>
          <w:sz w:val="24"/>
          <w:szCs w:val="24"/>
          <w:rtl/>
        </w:rPr>
        <w:t>שוכנעתי כי גם היקף הטיפולים שקיבל התובע לצורך התמודדות עם הכאב והקושי התפקודי – פורט בהגזמה ובהאדרה יתרה.</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יש לזכור כי התובע לא הציג קבלות על תשלום בגין טיפולים רפואיים או אלטרנטיביים שעבר.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הגם שהתובע הדגיש את הטיפולים שעבר וצריך יהיה לעבור כדי להקל על כאביו ולהיטיב את תפקודו, בת זוגו העידה כי הפעם האחרונה בה הסיעה את התובע לטיפולים הייתה כחצי שנה לפני מועד ישיבת ההוכחות, ואף זאת - למטפלת דיקור/מדיטציה אליה הלכו "פעם – פעמיים". </w:t>
      </w:r>
    </w:p>
    <w:p w:rsidR="00CF7D66" w:rsidRDefault="00CF7D66" w:rsidP="00CF7D66">
      <w:pPr>
        <w:pStyle w:val="a3"/>
        <w:rPr>
          <w:rFonts w:ascii="David" w:hAnsi="David" w:cs="David"/>
          <w:sz w:val="24"/>
          <w:szCs w:val="24"/>
        </w:rPr>
      </w:pPr>
    </w:p>
    <w:p w:rsidR="00CF7D66" w:rsidRDefault="00CF7D66" w:rsidP="0092293E">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גם כאשר התייחסה בת הזוג לטיפולים נוספים כגון פילאטיס ב</w:t>
      </w:r>
      <w:r w:rsidR="0092293E">
        <w:rPr>
          <w:rFonts w:ascii="David" w:hAnsi="David" w:cs="David" w:hint="cs"/>
          <w:sz w:val="24"/>
          <w:szCs w:val="24"/>
        </w:rPr>
        <w:t>XXX</w:t>
      </w:r>
      <w:r>
        <w:rPr>
          <w:rFonts w:ascii="David" w:hAnsi="David" w:cs="David"/>
          <w:sz w:val="24"/>
          <w:szCs w:val="24"/>
          <w:rtl/>
        </w:rPr>
        <w:t xml:space="preserve"> הבהירה כי הדבר אירע לפני זמן רב וכדבריה: "וואי </w:t>
      </w:r>
      <w:r w:rsidR="0092293E">
        <w:rPr>
          <w:rFonts w:ascii="David" w:hAnsi="David" w:cs="David" w:hint="cs"/>
          <w:sz w:val="24"/>
          <w:szCs w:val="24"/>
        </w:rPr>
        <w:t>XXX</w:t>
      </w:r>
      <w:r>
        <w:rPr>
          <w:rFonts w:ascii="David" w:hAnsi="David" w:cs="David"/>
          <w:sz w:val="24"/>
          <w:szCs w:val="24"/>
          <w:rtl/>
        </w:rPr>
        <w:t xml:space="preserve"> אני חושבת לא זה דברים שבעשור זה הכל כבר...." וטענה כי ביצעו גם טיפולי הידרותרפיה אך לא זכרה את מיקום ביצועם או את מספר הטיפולים (עמ' 8 שורות 35-1; עמ' 9 לפרוטוקול). לגבי טיפולי הפיזיותרפיה שביצע לטענתה התובע ציינה כי מדובר בטיפולים מכוח הזכאות בסל הבריאות (עמ' 10 שורות 7-1 לפרוטוקול), ולא שללה את הטענה כי הטיפולים האחרונים שעבר התובע היו בשנת 2019 (עמ' 10 לפרוטוקול).</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גם התובע הודה בעדותו כי אשתו היא זו שדחפה אותו  ועזרה לו להגיע לטיפולים (עמ' 25 שורות 15-14 לפרוטוקול) וכי בשמונת החודשים האחרונים (לפני ישיבת ההוכחות) לא טיפל בעצמו (עמ' 25 שורות 20-18 לפרוטוקול).</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מעבר לכך שהתובע מסר מיקומי טיפולים שונים מאלו שמסרה אשתו, כשניסה לטעון במהלך חקירתו הנגדית כי נכון למועד ההוכחות הוא עודנו מטופל, התייחס לספורט של "הליכה" וציין: " אני מטופל עושה הליכות אם הילדה שלי אומרת לי אבא אתה לא עושה ספורט כבר הרבה זמן בוא נעשה הליכות בוא נעשה זה..אתה לא עושה ספורט אני תמיד התעסקתי בספורט הילדים שלי תמיד..אני הפסקתי להתעסק בספורט מאז התאונה הזאתי שקרתה לי עם הבחורה שנכנסה בי בכיכר...מ – 2013 אני הפסקתי עם זה לאט-לאט....." (עמ' 29 שורות 25-5 לפרוטוקול). ואולם, מחקירתו הנגדית עלה כי ילדתו בת 11 בלבד ולא ברור כיצד הילדה, שהיא בת 11 בלבד, זכרה את התקופות בהן אביה התובע עשה ספורט לפני התאונה משנת 2013. כאשר </w:t>
      </w:r>
      <w:r>
        <w:rPr>
          <w:rFonts w:ascii="David" w:hAnsi="David" w:cs="David"/>
          <w:sz w:val="24"/>
          <w:szCs w:val="24"/>
          <w:rtl/>
        </w:rPr>
        <w:lastRenderedPageBreak/>
        <w:t>התבקש התובע להסביר את התהייה השיב תשובה ארוכה ובלתי רלוונטית לשאלה (ר' עמ' 31-30 לפרוטוקול). אמנם, בחקירה החוזרת ניסה להסביר את ניסיונותיו ההדרגתיים לחזור לפעילות גופנית בעקבות כל אחת מהתאונות (עמ' 68-67 לפרוטוקול). ואולם, הדברים שמסר לראשונה באופן ספונטני בחקירתו הנגדית בהחלט לימדו לטעמי על ניסיונות האדרה והגזמה.</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ככל שמידת הפגיעה בתפקודו השוטף של התובע הייתה כה גדולה כטענתו – יש להניח כי התובע היה מטפל בעצמו באופן אינטנסיבי יותר ולא מזניח את הטיפול לתקופה ממושכת כפי שאירע בפועל.</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b/>
          <w:bCs/>
          <w:sz w:val="24"/>
          <w:szCs w:val="24"/>
          <w:rtl/>
        </w:rPr>
        <w:t xml:space="preserve">רביעית, </w:t>
      </w:r>
      <w:r>
        <w:rPr>
          <w:rFonts w:ascii="David" w:hAnsi="David" w:cs="David"/>
          <w:sz w:val="24"/>
          <w:szCs w:val="24"/>
          <w:rtl/>
        </w:rPr>
        <w:t>שוכנעתי כי גם</w:t>
      </w:r>
      <w:r>
        <w:rPr>
          <w:rFonts w:ascii="David" w:hAnsi="David" w:cs="David"/>
          <w:b/>
          <w:bCs/>
          <w:sz w:val="24"/>
          <w:szCs w:val="24"/>
          <w:rtl/>
        </w:rPr>
        <w:t xml:space="preserve"> </w:t>
      </w:r>
      <w:r>
        <w:rPr>
          <w:rFonts w:ascii="David" w:hAnsi="David" w:cs="David"/>
          <w:sz w:val="24"/>
          <w:szCs w:val="24"/>
          <w:rtl/>
        </w:rPr>
        <w:t>קשיי התפקוד של התובע בביתו ומידת העזרה לה הוא נדרש בתפקודו השוטף פורטו על דרך ההגזמה.</w:t>
      </w:r>
    </w:p>
    <w:p w:rsidR="00CF7D66" w:rsidRDefault="00CF7D66" w:rsidP="00CF7D66">
      <w:pPr>
        <w:pStyle w:val="a3"/>
        <w:rPr>
          <w:rFonts w:ascii="David" w:hAnsi="David" w:cs="David"/>
          <w:sz w:val="24"/>
          <w:szCs w:val="24"/>
        </w:rPr>
      </w:pPr>
    </w:p>
    <w:p w:rsidR="00CF7D66" w:rsidRDefault="00CF7D66" w:rsidP="0092293E">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בתוך כך למשל, טענת בת זוגו של התובע כי היא הסיעה אותו לכל הטיפולים מאחר שהנהיגה קשה לתובע – אינה הגיונית לגופה. בת זוגו של התובע הודתה כי התובע יכול לנהוג וכדבריה: "הוא נוהג הוא פשוט תוך כדי הנהיגה כואב לו הוא עושה המון עצירות." (עמ' 11 שורה 18 לפרוטוקול). למרות זאת, בת הזוג לא ידעה לספק הסבר מניח דעת לכך שהייתה צריכה להסיע את התובע לטיפולי פיזיותרפיה </w:t>
      </w:r>
      <w:r w:rsidRPr="0092293E">
        <w:rPr>
          <w:rFonts w:ascii="David" w:hAnsi="David" w:cs="David"/>
          <w:sz w:val="24"/>
          <w:szCs w:val="24"/>
          <w:rtl/>
        </w:rPr>
        <w:t>ב</w:t>
      </w:r>
      <w:r w:rsidR="0092293E" w:rsidRPr="0092293E">
        <w:rPr>
          <w:rFonts w:ascii="David" w:hAnsi="David" w:cs="David" w:hint="cs"/>
          <w:sz w:val="24"/>
          <w:szCs w:val="24"/>
        </w:rPr>
        <w:t>XXX</w:t>
      </w:r>
      <w:r>
        <w:rPr>
          <w:rFonts w:ascii="David" w:hAnsi="David" w:cs="David"/>
          <w:sz w:val="24"/>
          <w:szCs w:val="24"/>
          <w:rtl/>
        </w:rPr>
        <w:t xml:space="preserve">, מרחק 10 דקות נסיעה, אליהם לכאורה יכול התובע לנהוג בעצמו. בת הזוג ציינה כי:" אני אגיד לך למה כי אני רוצה למנוע ממנו את הסבל הזה מראש, כי אני רואה שלא נעים לו...." (עמ' 11 לפרוטוקול) ובהמשך הודתה כי היא מסיעה את התובע לרוב הטיפולים אך לא לכולם (עמ' 12 שורות 19-1 לפרוטוקול).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בנוסף, התובע עצמו הודה בעדותו כי:" אמרתי לך מאז שאשתי נכנסה להריון נפלו עליי קצת יותר דברים, דברים שלא הייתי עושה עם הילדות לקחת פתאום ללכת עם הילדה לקחת אותה לחוג או משהו דברים כאלה שלא הייתי מתעסק בהם להכין להם ארוחת ערב קטנה אז היום אני עושה את הדברים האלה אני עושה אותם." (עמ' 61 שורות 22-19 לפרוטוקול).</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זה המקום להוסיף ולהעיר, כי בת זוגו של התובע ציינה כי "דברים נופלים לו (לתובע – הערה שלי, מר"א) מהידיים, כואב לו..." (עמ' 14 שורה 5 לפרוטוקול). ואולם, לא נמצא תיעוד ממשי לכך בחומר הרפואי שצורף לתיק, ואשר על פי הנטען הועבר כולו לב"כ התובע.</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כלומר, התובע עצמו הודה כי העזרה והסיוע בבית אפשריים מבחינתו, וכשאין ברירה – הוא יכול גם יכול לבצע מטלות אלו. תיעוד רפואי או אסמכתה לתלונות או לקשיים חריגים – לא הוצגו, ומשכך יש להניח כי אינם קיימים.</w:t>
      </w:r>
    </w:p>
    <w:p w:rsidR="00CF7D66" w:rsidRDefault="00CF7D66" w:rsidP="00CF7D66">
      <w:pPr>
        <w:pStyle w:val="a3"/>
        <w:rPr>
          <w:rFonts w:ascii="David" w:hAnsi="David" w:cs="David"/>
          <w:sz w:val="24"/>
          <w:szCs w:val="24"/>
        </w:rPr>
      </w:pPr>
    </w:p>
    <w:p w:rsidR="00CF7D66" w:rsidRDefault="00CF7D66" w:rsidP="0092293E">
      <w:pPr>
        <w:pStyle w:val="a3"/>
        <w:numPr>
          <w:ilvl w:val="0"/>
          <w:numId w:val="1"/>
        </w:numPr>
        <w:tabs>
          <w:tab w:val="left" w:pos="368"/>
        </w:tabs>
        <w:spacing w:line="360" w:lineRule="auto"/>
        <w:ind w:left="368" w:hanging="425"/>
        <w:jc w:val="both"/>
        <w:rPr>
          <w:rFonts w:ascii="David" w:hAnsi="David" w:cs="David"/>
          <w:b/>
          <w:bCs/>
          <w:sz w:val="24"/>
          <w:szCs w:val="24"/>
        </w:rPr>
      </w:pPr>
      <w:r>
        <w:rPr>
          <w:rFonts w:ascii="David" w:hAnsi="David" w:cs="David"/>
          <w:b/>
          <w:bCs/>
          <w:sz w:val="24"/>
          <w:szCs w:val="24"/>
          <w:rtl/>
        </w:rPr>
        <w:t>חמישית</w:t>
      </w:r>
      <w:r>
        <w:rPr>
          <w:rFonts w:ascii="David" w:hAnsi="David" w:cs="David"/>
          <w:sz w:val="24"/>
          <w:szCs w:val="24"/>
          <w:rtl/>
        </w:rPr>
        <w:t>, התובע ניסה להפריז באלמנטים הפיסיים הכרוכים בעבודות שביצע ולא הביא כל ראיה להוכיח טענתו כי עזב את מקום העבודה "</w:t>
      </w:r>
      <w:r w:rsidR="0092293E">
        <w:rPr>
          <w:rFonts w:ascii="David" w:hAnsi="David" w:cs="David" w:hint="cs"/>
          <w:sz w:val="24"/>
          <w:szCs w:val="24"/>
        </w:rPr>
        <w:t>XXX</w:t>
      </w:r>
      <w:r>
        <w:rPr>
          <w:rFonts w:ascii="David" w:hAnsi="David" w:cs="David"/>
          <w:sz w:val="24"/>
          <w:szCs w:val="24"/>
          <w:rtl/>
        </w:rPr>
        <w:t>" בשל קשייו הפיסיים או כי פוטר מ"</w:t>
      </w:r>
      <w:r w:rsidR="0092293E">
        <w:rPr>
          <w:rFonts w:ascii="David" w:hAnsi="David" w:cs="David" w:hint="cs"/>
          <w:sz w:val="24"/>
          <w:szCs w:val="24"/>
        </w:rPr>
        <w:t>XXX</w:t>
      </w:r>
      <w:r>
        <w:rPr>
          <w:rFonts w:ascii="David" w:hAnsi="David" w:cs="David"/>
          <w:sz w:val="24"/>
          <w:szCs w:val="24"/>
          <w:rtl/>
        </w:rPr>
        <w:t>" בשל קשיי תפקוד הנובעים מהתאונות מושא דיוננו.</w:t>
      </w:r>
    </w:p>
    <w:p w:rsidR="00CF7D66" w:rsidRDefault="00CF7D66" w:rsidP="00CF7D66">
      <w:pPr>
        <w:pStyle w:val="a3"/>
        <w:rPr>
          <w:rFonts w:ascii="David" w:hAnsi="David" w:cs="David"/>
          <w:b/>
          <w:bCs/>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lastRenderedPageBreak/>
        <w:t>התובע העיד בחקירתו הנגדית כי התפטר מעבודתו בשנת 2013 מאחר שהייתה כרוכה בפעולות פיסיות והרמת דברים וכדבריו: " הגביל אותי הגב שכואב לי, היד שכאבה לי.... הגב התחתון הצוואר אם אני עושה דברים מרים משקלים אני מרים זה גם היד שלי גם במצב שבתאונה שהייתה לי ב-2005 שלא הרגשתי בכלל את הכתף ולא אני היום לא יכול לתפוס מברגה ולהבריג איתה בצורה כזאתי אני לא יכול להרים את היד." (עמ' 32 שורות 12-7 לפרוטוקול).</w:t>
      </w:r>
    </w:p>
    <w:p w:rsidR="00CF7D66" w:rsidRDefault="00CF7D66" w:rsidP="00CF7D66">
      <w:pPr>
        <w:pStyle w:val="a3"/>
        <w:rPr>
          <w:rFonts w:ascii="David" w:hAnsi="David" w:cs="David"/>
          <w:sz w:val="24"/>
          <w:szCs w:val="24"/>
        </w:rPr>
      </w:pPr>
    </w:p>
    <w:p w:rsidR="00CF7D66" w:rsidRDefault="00CF7D66" w:rsidP="0092293E">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לטענת התובע, התפטר בלית ברירה וחיפש עבודה אחרת שתהיה פחות פיסית וכדבריו: "חיפשתי עבודה שהיא תהיה קצת פחות פיזית קצת יותר עם ניהול קצת או משהו חיפשתי לא היה קל למצוא בסופו של דבר מצאתי </w:t>
      </w:r>
      <w:r w:rsidR="0092293E">
        <w:rPr>
          <w:rFonts w:ascii="David" w:hAnsi="David" w:cs="David" w:hint="cs"/>
          <w:sz w:val="24"/>
          <w:szCs w:val="24"/>
        </w:rPr>
        <w:t>XXX</w:t>
      </w:r>
      <w:r>
        <w:rPr>
          <w:rFonts w:ascii="David" w:hAnsi="David" w:cs="David"/>
          <w:sz w:val="24"/>
          <w:szCs w:val="24"/>
          <w:rtl/>
        </w:rPr>
        <w:t xml:space="preserve"> נכנסתי לשמה, למדתי את העבודה ניהלתי היה לי צוות של 5 עובדים באים בבוקר מלקטים הזמנות בשעה 13:30 - 14:00 הייתי יושב ומכין תעודות משלוח." (עמ' 32 שורות 35-29; עמ' 33 שורות 2-1 לפרוטוקול), ולטענתו מהעבודה הנוספת לא התפטר כי אם פוטר (עמ' 33 שורות 8-1 לפרוטוקול).</w:t>
      </w:r>
    </w:p>
    <w:p w:rsidR="00CF7D66" w:rsidRDefault="00CF7D66" w:rsidP="00CF7D66">
      <w:pPr>
        <w:pStyle w:val="a3"/>
        <w:rPr>
          <w:rFonts w:ascii="David" w:hAnsi="David" w:cs="David"/>
          <w:sz w:val="24"/>
          <w:szCs w:val="24"/>
        </w:rPr>
      </w:pPr>
    </w:p>
    <w:p w:rsidR="00CF7D66" w:rsidRDefault="00CF7D66" w:rsidP="0092293E">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ואולם, מעבר לכך שהתובע התפטר </w:t>
      </w:r>
      <w:r w:rsidRPr="0092293E">
        <w:rPr>
          <w:rFonts w:ascii="David" w:hAnsi="David" w:cs="David"/>
          <w:sz w:val="24"/>
          <w:szCs w:val="24"/>
          <w:rtl/>
        </w:rPr>
        <w:t>מעבודתו ב"</w:t>
      </w:r>
      <w:r w:rsidR="0092293E" w:rsidRPr="0092293E">
        <w:rPr>
          <w:rFonts w:ascii="David" w:hAnsi="David" w:cs="David" w:hint="cs"/>
          <w:sz w:val="24"/>
          <w:szCs w:val="24"/>
        </w:rPr>
        <w:t>XXX</w:t>
      </w:r>
      <w:r w:rsidRPr="0092293E">
        <w:rPr>
          <w:rFonts w:ascii="David" w:hAnsi="David" w:cs="David"/>
          <w:sz w:val="24"/>
          <w:szCs w:val="24"/>
          <w:rtl/>
        </w:rPr>
        <w:t>" מיוזמתו</w:t>
      </w:r>
      <w:r>
        <w:rPr>
          <w:rFonts w:ascii="David" w:hAnsi="David" w:cs="David"/>
          <w:sz w:val="24"/>
          <w:szCs w:val="24"/>
          <w:rtl/>
        </w:rPr>
        <w:t xml:space="preserve"> כשנה לאחר התאונה הראשונה, והחל בחלוף חודש לעבוד בעבודתו השנייה תוך עלייה דרמטית בשכרו, לא הובאה כל עדות או אסמכתה חיצונית לתמיכה בטענותיו של התובע כי הסיבה להתפטרותו הייתה הקושי הפיסי.</w:t>
      </w:r>
    </w:p>
    <w:p w:rsidR="00CF7D66" w:rsidRDefault="00CF7D66" w:rsidP="00CF7D66">
      <w:pPr>
        <w:pStyle w:val="a3"/>
        <w:rPr>
          <w:rFonts w:ascii="David" w:hAnsi="David" w:cs="David"/>
          <w:b/>
          <w:bCs/>
          <w:sz w:val="24"/>
          <w:szCs w:val="24"/>
        </w:rPr>
      </w:pPr>
    </w:p>
    <w:p w:rsidR="00CF7D66" w:rsidRDefault="00CF7D66" w:rsidP="0092293E">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בנוסף, כאשר נשאל לטיב העבודה </w:t>
      </w:r>
      <w:r w:rsidRPr="0092293E">
        <w:rPr>
          <w:rFonts w:ascii="David" w:hAnsi="David" w:cs="David"/>
          <w:sz w:val="24"/>
          <w:szCs w:val="24"/>
          <w:rtl/>
        </w:rPr>
        <w:t>הנוספת ב"</w:t>
      </w:r>
      <w:r w:rsidR="0092293E" w:rsidRPr="0092293E">
        <w:rPr>
          <w:rFonts w:ascii="David" w:hAnsi="David" w:cs="David" w:hint="cs"/>
          <w:sz w:val="24"/>
          <w:szCs w:val="24"/>
        </w:rPr>
        <w:t>XXX</w:t>
      </w:r>
      <w:r w:rsidRPr="0092293E">
        <w:rPr>
          <w:rFonts w:ascii="David" w:hAnsi="David" w:cs="David"/>
          <w:sz w:val="24"/>
          <w:szCs w:val="24"/>
          <w:rtl/>
        </w:rPr>
        <w:t>"</w:t>
      </w:r>
      <w:r>
        <w:rPr>
          <w:rFonts w:ascii="David" w:hAnsi="David" w:cs="David"/>
          <w:sz w:val="24"/>
          <w:szCs w:val="24"/>
          <w:rtl/>
        </w:rPr>
        <w:t xml:space="preserve"> – העבודה ממנה פוטר לטענתו בחודש 6/21, ניסה תחילה התובע להדגיש את הממד הפיסי בעבודה זו והשיב כי הדבר היה כרוך בהרמת שקים של 20-25 ק"ג באופן שניתן היה להבין ממנו כי הוא עצמו הרים את השקים הכבדים.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למרות זאת בהמשך חקירתו, כשהתבקש לחדד העניין השיב: " זה אני לא הייתי מרים הייתי מרים קצת פה קצת שם לא הייתי עובד היה לי עובדים עדיין הייתי עם צוות של אנשים שאיתי שתחתי שהייתי אמור לפקח." (עמ' 34 שורות 22-21 לפרוטוקול).</w:t>
      </w:r>
    </w:p>
    <w:p w:rsidR="00CF7D66" w:rsidRDefault="00CF7D66" w:rsidP="00CF7D66">
      <w:pPr>
        <w:pStyle w:val="a3"/>
        <w:rPr>
          <w:rFonts w:ascii="David" w:hAnsi="David" w:cs="David"/>
          <w:sz w:val="24"/>
          <w:szCs w:val="24"/>
        </w:rPr>
      </w:pPr>
    </w:p>
    <w:p w:rsidR="00CF7D66" w:rsidRDefault="00CF7D66" w:rsidP="0092293E">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בהמשך, כשהתבקש לתאר את עבודתו בחברת "</w:t>
      </w:r>
      <w:r w:rsidR="0092293E">
        <w:rPr>
          <w:rFonts w:ascii="David" w:hAnsi="David" w:cs="David" w:hint="cs"/>
          <w:sz w:val="24"/>
          <w:szCs w:val="24"/>
        </w:rPr>
        <w:t>XXX</w:t>
      </w:r>
      <w:r>
        <w:rPr>
          <w:rFonts w:ascii="David" w:hAnsi="David" w:cs="David"/>
          <w:sz w:val="24"/>
          <w:szCs w:val="24"/>
          <w:rtl/>
        </w:rPr>
        <w:t>" ציין התובע כי:</w:t>
      </w:r>
    </w:p>
    <w:p w:rsidR="00CF7D66" w:rsidRDefault="00CF7D66" w:rsidP="00CF7D66">
      <w:pPr>
        <w:pStyle w:val="a3"/>
        <w:rPr>
          <w:rFonts w:ascii="David" w:hAnsi="David" w:cs="David"/>
          <w:sz w:val="24"/>
          <w:szCs w:val="24"/>
        </w:rPr>
      </w:pPr>
    </w:p>
    <w:p w:rsidR="00CF7D66" w:rsidRDefault="00CF7D66" w:rsidP="00CF7D66">
      <w:pPr>
        <w:pStyle w:val="a5"/>
        <w:shd w:val="clear" w:color="auto" w:fill="auto"/>
        <w:spacing w:line="360" w:lineRule="auto"/>
        <w:ind w:left="360" w:firstLine="0"/>
        <w:jc w:val="both"/>
        <w:rPr>
          <w:rFonts w:ascii="David" w:hAnsi="David" w:cs="David"/>
          <w:b w:val="0"/>
          <w:bCs w:val="0"/>
          <w:sz w:val="24"/>
          <w:szCs w:val="24"/>
          <w:u w:val="none"/>
          <w:rtl/>
        </w:rPr>
      </w:pPr>
      <w:r>
        <w:rPr>
          <w:rFonts w:ascii="David" w:hAnsi="David" w:cs="David"/>
          <w:b w:val="0"/>
          <w:bCs w:val="0"/>
          <w:sz w:val="24"/>
          <w:szCs w:val="24"/>
          <w:u w:val="none"/>
          <w:rtl/>
        </w:rPr>
        <w:t xml:space="preserve">"באתי בבוקר ליקטנו הזמנות לא לבד, אני לא מלקט לבד גם אני הרמתי שקים הזזתי ליקטנו הזמנות, הכנו הזמנות שההזמנות היו מוכנות אני הייתי צריך לשבת להוציא תעודות משלוח חשבוניות מה שצריך להכין מסלול דרום מסלול צפון הכל היה מסודר בקלסרים הייתי עושה להם גם מסלול בגוגל הייתי נכנס לגוגל מפות עושה מסלול מסדר לכל אחד את הקלסר שלו מגיעים המשאיות מעמיסים אותם מלגזה מעמיסים הכל מסדרים יוצאים. עכשיו באיזה שהוא שלב שאמרתי לך שהוצאתי גם את הרישיון משאית כי היו מצבים שנהג לא מגיע הנהג זה וזה בעלי חיים אז הייתי מחובתי גם היה לצאת לעשות את הסיבוב משאית כי אם מישהו לא מגיע אני בתור ראש צוות הייתי צריך לעלות למשאית ולצאת צריך לחלק את הסחורה....העגלה כל הסחורה מוכנה על משטחים יש עגלה החשמלית ג'ק חשמלי אתה בא נוסע הוא יושב לך </w:t>
      </w:r>
      <w:r>
        <w:rPr>
          <w:rFonts w:ascii="David" w:hAnsi="David" w:cs="David"/>
          <w:b w:val="0"/>
          <w:bCs w:val="0"/>
          <w:sz w:val="24"/>
          <w:szCs w:val="24"/>
          <w:u w:val="none"/>
          <w:rtl/>
        </w:rPr>
        <w:lastRenderedPageBreak/>
        <w:t>במשאית הג'ק הזה אתה מניע אותו מכניס אותו למשטח לוחץ כפתור זה עולה זה נוסע אחורה אתה מוריד את זה ברפת, בדיר איפה שהזמינו את זה מקבל חתימה על הסחורה מעלה את הג'ק לאוטו ונוסע." (עמ' 35 לפרוטוקול).</w:t>
      </w:r>
    </w:p>
    <w:p w:rsidR="00CF7D66" w:rsidRDefault="00CF7D66" w:rsidP="00CF7D66">
      <w:pPr>
        <w:pStyle w:val="a5"/>
        <w:shd w:val="clear" w:color="auto" w:fill="auto"/>
        <w:spacing w:line="360" w:lineRule="auto"/>
        <w:ind w:left="360" w:firstLine="0"/>
        <w:jc w:val="both"/>
        <w:rPr>
          <w:rFonts w:ascii="David" w:hAnsi="David" w:cs="David"/>
          <w:b w:val="0"/>
          <w:bCs w:val="0"/>
          <w:sz w:val="24"/>
          <w:szCs w:val="24"/>
          <w:u w:val="none"/>
        </w:rPr>
      </w:pPr>
    </w:p>
    <w:p w:rsidR="00CF7D66" w:rsidRDefault="00CF7D66" w:rsidP="0092293E">
      <w:pPr>
        <w:pStyle w:val="a3"/>
        <w:numPr>
          <w:ilvl w:val="0"/>
          <w:numId w:val="1"/>
        </w:numPr>
        <w:tabs>
          <w:tab w:val="left" w:pos="368"/>
        </w:tabs>
        <w:spacing w:line="360" w:lineRule="auto"/>
        <w:ind w:left="368" w:hanging="425"/>
        <w:jc w:val="both"/>
        <w:rPr>
          <w:rFonts w:ascii="David" w:hAnsi="David" w:cs="David"/>
          <w:b/>
          <w:bCs/>
          <w:sz w:val="24"/>
          <w:szCs w:val="24"/>
          <w:rtl/>
        </w:rPr>
      </w:pPr>
      <w:r>
        <w:rPr>
          <w:rFonts w:ascii="David" w:hAnsi="David" w:cs="David"/>
          <w:sz w:val="24"/>
          <w:szCs w:val="24"/>
          <w:rtl/>
        </w:rPr>
        <w:t>מן האמור עולה כי הגם שעבודתו של התובע ב"</w:t>
      </w:r>
      <w:r w:rsidR="0092293E">
        <w:rPr>
          <w:rFonts w:ascii="David" w:hAnsi="David" w:cs="David" w:hint="cs"/>
          <w:sz w:val="24"/>
          <w:szCs w:val="24"/>
        </w:rPr>
        <w:t>XXX</w:t>
      </w:r>
      <w:r>
        <w:rPr>
          <w:rFonts w:ascii="David" w:hAnsi="David" w:cs="David"/>
          <w:sz w:val="24"/>
          <w:szCs w:val="24"/>
          <w:rtl/>
        </w:rPr>
        <w:t>" הייתה כרוכה גם בהיבטים פיסיים מסוימים, היא הייתה יותר ניהולית מפיסית באופייה (התובע גם הודה כי בשלב מסוים קודם בשכר "כי ניהלתי את החברה טוב", עמ' 35 לפרוטוקול), וגם כאן – התובע ניסה להעצים את ההיבטים הפיסיים כדי להאדיר את השלכותיה של התאונה על תפקודו.</w:t>
      </w:r>
    </w:p>
    <w:p w:rsidR="00CF7D66" w:rsidRDefault="00CF7D66" w:rsidP="0092293E">
      <w:pPr>
        <w:pStyle w:val="a5"/>
        <w:numPr>
          <w:ilvl w:val="0"/>
          <w:numId w:val="1"/>
        </w:numPr>
        <w:shd w:val="clear" w:color="auto" w:fill="auto"/>
        <w:spacing w:line="360" w:lineRule="auto"/>
        <w:jc w:val="both"/>
        <w:rPr>
          <w:rFonts w:ascii="David" w:hAnsi="David" w:cs="David"/>
          <w:b w:val="0"/>
          <w:bCs w:val="0"/>
          <w:sz w:val="24"/>
          <w:szCs w:val="24"/>
          <w:u w:val="none"/>
          <w:rtl/>
        </w:rPr>
      </w:pPr>
      <w:r>
        <w:rPr>
          <w:rFonts w:ascii="David" w:hAnsi="David" w:cs="David"/>
          <w:b w:val="0"/>
          <w:bCs w:val="0"/>
          <w:sz w:val="24"/>
          <w:szCs w:val="24"/>
          <w:u w:val="none"/>
          <w:rtl/>
        </w:rPr>
        <w:t>זאת ועוד; כפי שעולה מדו"ח רציפות הביטוח שהוגש כמוצג מטעם הנתבעות, התובע עבד ב"</w:t>
      </w:r>
      <w:r w:rsidR="0092293E">
        <w:rPr>
          <w:rFonts w:ascii="David" w:hAnsi="David" w:cs="David" w:hint="cs"/>
          <w:b w:val="0"/>
          <w:bCs w:val="0"/>
          <w:sz w:val="24"/>
          <w:szCs w:val="24"/>
          <w:u w:val="none"/>
        </w:rPr>
        <w:t>XXX</w:t>
      </w:r>
      <w:r>
        <w:rPr>
          <w:rFonts w:ascii="David" w:hAnsi="David" w:cs="David"/>
          <w:b w:val="0"/>
          <w:bCs w:val="0"/>
          <w:sz w:val="24"/>
          <w:szCs w:val="24"/>
          <w:u w:val="none"/>
          <w:rtl/>
        </w:rPr>
        <w:t xml:space="preserve">" בין החודשים 11/14-6/21. התובע טען כי פיטרו אותו ממקום עבודה זה "בגלל התאונה שהייתה לי ב-2018 אני לא חזרתי אותו דבר, לא חזרתי אותו דבר היה קשה לי לעמוד הרבה, היה קשה לי לשבת הרבה התעודות משלוח לקחו יותר זמן פתאום אמרו טוב ניתן </w:t>
      </w:r>
      <w:r w:rsidRPr="0092293E">
        <w:rPr>
          <w:rFonts w:ascii="David" w:hAnsi="David" w:cs="David"/>
          <w:b w:val="0"/>
          <w:bCs w:val="0"/>
          <w:sz w:val="24"/>
          <w:szCs w:val="24"/>
          <w:u w:val="none"/>
          <w:rtl/>
        </w:rPr>
        <w:t>לפקידה לעשות את התעודות משלוח תקופה אחרי זה היה קצת יותר קשה בפיזי לא יכולתי לנהוג במשאית כבר</w:t>
      </w:r>
      <w:r>
        <w:rPr>
          <w:rFonts w:ascii="David" w:hAnsi="David" w:cs="David"/>
          <w:b w:val="0"/>
          <w:bCs w:val="0"/>
          <w:sz w:val="24"/>
          <w:szCs w:val="24"/>
          <w:u w:val="none"/>
          <w:rtl/>
        </w:rPr>
        <w:t xml:space="preserve"> היה קשה לי לעלות למשאית לא רק לנהוג ולרדת מהמשאית הבעל בית די אהב אותי הוא די העריך אותי גם בסך הכל אני נתתי שמה באמת עבודה מכל הלב אבל הוא גם אמר לי שהייתי איתו בפעם אחת בישיבה הוא השיב אותי אמר לי תשמע התפוקה שלך ירדה וזה אתה יודע שאני אוהב אותך." (עמ' 36 שורות 16-9; עמ' 55 שורות 28-10; עמ' 56 שורות 14-12 לפרוטוקול).</w:t>
      </w:r>
    </w:p>
    <w:p w:rsidR="00CF7D66" w:rsidRDefault="00CF7D66" w:rsidP="00CF7D66">
      <w:pPr>
        <w:pStyle w:val="a5"/>
        <w:shd w:val="clear" w:color="auto" w:fill="auto"/>
        <w:spacing w:line="360" w:lineRule="auto"/>
        <w:ind w:left="360" w:firstLine="0"/>
        <w:jc w:val="both"/>
        <w:rPr>
          <w:rFonts w:ascii="David" w:hAnsi="David" w:cs="David"/>
          <w:b w:val="0"/>
          <w:bCs w:val="0"/>
          <w:sz w:val="24"/>
          <w:szCs w:val="24"/>
          <w:u w:val="none"/>
          <w:rtl/>
        </w:rPr>
      </w:pPr>
    </w:p>
    <w:p w:rsidR="00CF7D66" w:rsidRDefault="00CF7D66" w:rsidP="00CF7D66">
      <w:pPr>
        <w:pStyle w:val="a5"/>
        <w:numPr>
          <w:ilvl w:val="0"/>
          <w:numId w:val="1"/>
        </w:numPr>
        <w:shd w:val="clear" w:color="auto" w:fill="auto"/>
        <w:spacing w:line="360" w:lineRule="auto"/>
        <w:jc w:val="both"/>
        <w:rPr>
          <w:rFonts w:ascii="David" w:hAnsi="David" w:cs="David"/>
          <w:b w:val="0"/>
          <w:bCs w:val="0"/>
          <w:sz w:val="24"/>
          <w:szCs w:val="24"/>
          <w:u w:val="none"/>
          <w:rtl/>
        </w:rPr>
      </w:pPr>
      <w:r>
        <w:rPr>
          <w:rFonts w:ascii="David" w:hAnsi="David" w:cs="David"/>
          <w:b w:val="0"/>
          <w:bCs w:val="0"/>
          <w:sz w:val="24"/>
          <w:szCs w:val="24"/>
          <w:u w:val="none"/>
          <w:rtl/>
        </w:rPr>
        <w:t>למרות זאת, התובע לא הציג כל אסמכתה המלמדת על כך שפוטר – לא כל שכן המלמדת על סיבת הפיטורין; לא הביא את מעסיקו הקודם (שלכאורה כטענתו "אהב אותו") או קולגה אחר לעבודה שיעידו על עבודתו ועל סיבת הפיטורין ולא הביא כל ראיה אחרת לתמיכה בטענתו, וזאת מבלי לספק הסבר מניח דעת למחדל זה (עמ' 36 שורות 35-17; עמ' 37 שורות 7-1; עמ' 58-57 לפרוטוקול).</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92293E">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אם לא די באמור, במהלך דיון ההוכחות התברר כי מספר חודשים קודם לכן (3/22) החל התובע לעבוד בעבודה חדשה </w:t>
      </w:r>
      <w:r w:rsidRPr="0092293E">
        <w:rPr>
          <w:rFonts w:ascii="David" w:hAnsi="David" w:cs="David"/>
          <w:sz w:val="24"/>
          <w:szCs w:val="24"/>
          <w:rtl/>
        </w:rPr>
        <w:t>בתחום ה</w:t>
      </w:r>
      <w:r w:rsidR="0092293E" w:rsidRPr="0092293E">
        <w:rPr>
          <w:rFonts w:ascii="David" w:hAnsi="David" w:cs="David" w:hint="cs"/>
          <w:sz w:val="24"/>
          <w:szCs w:val="24"/>
        </w:rPr>
        <w:t>XXX</w:t>
      </w:r>
      <w:r>
        <w:rPr>
          <w:rFonts w:ascii="David" w:hAnsi="David" w:cs="David"/>
          <w:sz w:val="24"/>
          <w:szCs w:val="24"/>
          <w:rtl/>
        </w:rPr>
        <w:t>. התובע לא עדכן בכך את בית המשפט או את הצדדים ואף לא צירף תלושי שכר על מנת להוכיח את היקף השתכרותו, אלא רק השיב בחקירתו הנגדית כי הרוויח 10,000 ₪ ברוטו (עמ' 37 שורות 35-22 לפרוטוקול).</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92293E">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כאשר התבקש להסביר את ההיבט הפיסי הכרוך בעבודתו הנוכחית ציין התובע, כי הקושי בעבודה ב</w:t>
      </w:r>
      <w:r w:rsidR="0092293E">
        <w:rPr>
          <w:rFonts w:ascii="David" w:hAnsi="David" w:cs="David" w:hint="cs"/>
          <w:sz w:val="24"/>
          <w:szCs w:val="24"/>
        </w:rPr>
        <w:t>XXX</w:t>
      </w:r>
      <w:r>
        <w:rPr>
          <w:rFonts w:ascii="David" w:hAnsi="David" w:cs="David"/>
          <w:sz w:val="24"/>
          <w:szCs w:val="24"/>
          <w:rtl/>
        </w:rPr>
        <w:t xml:space="preserve"> הוא בנהיגה בשטח "שזה קפיצות וזה ממש לא נוח וממש מציק לי" אם כי לא כל היום הוא נוהג אלא גם מסתובב בין הפועלים (עמ' 41 שורות 34-7; עמ' 42 שורות 2-1 לפרוטוקול).</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lastRenderedPageBreak/>
        <w:t>למרות ניסיונותיו להציג העבודה כפיסית – לא שוכנעתי שההיבטים הפיסיים בה היו כה דומיננטיים, מה גם שהתובע עצמו הודה בהמשך עדותו שאין בעבודה היבט פיסי דומיננטי (עמ' 37 שורות 21-17 לפרוטוקול).</w:t>
      </w:r>
    </w:p>
    <w:p w:rsidR="00CF7D66" w:rsidRDefault="00CF7D66" w:rsidP="00CF7D66">
      <w:pPr>
        <w:pStyle w:val="a3"/>
        <w:rPr>
          <w:rFonts w:ascii="David" w:hAnsi="David" w:cs="David"/>
          <w:sz w:val="24"/>
          <w:szCs w:val="24"/>
        </w:rPr>
      </w:pPr>
    </w:p>
    <w:p w:rsidR="00CF7D66" w:rsidRDefault="00CF7D66" w:rsidP="0092293E">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ביום 13.4.23 (לאחר ישיבת ההוכחות ולאחר הגשת הסיכומים מטעמו) הודיע התובע כי ביום 9.3.23 סיים העסקתו בתחום ה</w:t>
      </w:r>
      <w:r w:rsidR="0092293E">
        <w:rPr>
          <w:rFonts w:ascii="David" w:hAnsi="David" w:cs="David" w:hint="cs"/>
          <w:sz w:val="24"/>
          <w:szCs w:val="24"/>
        </w:rPr>
        <w:t>XXX</w:t>
      </w:r>
      <w:r>
        <w:rPr>
          <w:rFonts w:ascii="David" w:hAnsi="David" w:cs="David"/>
          <w:sz w:val="24"/>
          <w:szCs w:val="24"/>
          <w:rtl/>
        </w:rPr>
        <w:t xml:space="preserve"> וכיום הוא מובטל מעבודה. המסמך המעדכן על הפסקת עבודתו של התובע לא התקבל כחלק מחומר הראיות בתיק (החלטה מיום 18.4.23). </w:t>
      </w:r>
    </w:p>
    <w:p w:rsidR="00CF7D66" w:rsidRDefault="00CF7D66" w:rsidP="00CF7D66">
      <w:pPr>
        <w:pStyle w:val="a3"/>
        <w:rPr>
          <w:rFonts w:ascii="David" w:hAnsi="David" w:cs="David"/>
          <w:sz w:val="24"/>
          <w:szCs w:val="24"/>
        </w:rPr>
      </w:pPr>
    </w:p>
    <w:p w:rsidR="00CF7D66" w:rsidRDefault="00CF7D66" w:rsidP="0092293E">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התובע למעשה לא הציג וממילא לא הוכיח דבר בנוגע לתנאי העסקתו בתחום ה</w:t>
      </w:r>
      <w:r w:rsidR="0092293E">
        <w:rPr>
          <w:rFonts w:ascii="David" w:hAnsi="David" w:cs="David" w:hint="cs"/>
          <w:sz w:val="24"/>
          <w:szCs w:val="24"/>
        </w:rPr>
        <w:t>XXX</w:t>
      </w:r>
      <w:r>
        <w:rPr>
          <w:rFonts w:ascii="David" w:hAnsi="David" w:cs="David"/>
          <w:sz w:val="24"/>
          <w:szCs w:val="24"/>
          <w:rtl/>
        </w:rPr>
        <w:t xml:space="preserve"> או לסיבת סיום העסקתו שם, וודאי שאין בעצם הפסקת העבודה בתחום ה</w:t>
      </w:r>
      <w:r w:rsidR="0092293E">
        <w:rPr>
          <w:rFonts w:ascii="David" w:hAnsi="David" w:cs="David" w:hint="cs"/>
          <w:sz w:val="24"/>
          <w:szCs w:val="24"/>
        </w:rPr>
        <w:t>XXX</w:t>
      </w:r>
      <w:r>
        <w:rPr>
          <w:rFonts w:ascii="David" w:hAnsi="David" w:cs="David"/>
          <w:sz w:val="24"/>
          <w:szCs w:val="24"/>
          <w:rtl/>
        </w:rPr>
        <w:t xml:space="preserve"> כדי לאפשר גזירת מסקנה כלשהי בנוגע לסיבות הפסקת עבודתו שם. </w:t>
      </w:r>
    </w:p>
    <w:p w:rsidR="00CF7D66" w:rsidRDefault="00CF7D66" w:rsidP="00CF7D66">
      <w:pPr>
        <w:pStyle w:val="a3"/>
        <w:rPr>
          <w:rFonts w:ascii="David" w:hAnsi="David" w:cs="David"/>
          <w:sz w:val="24"/>
          <w:szCs w:val="24"/>
        </w:rPr>
      </w:pPr>
    </w:p>
    <w:p w:rsidR="00CF7D66" w:rsidRDefault="00CF7D66" w:rsidP="0092293E">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אדרבה, מעדותו של התובע עלה כי לא אהב את העבודה </w:t>
      </w:r>
      <w:r w:rsidRPr="0092293E">
        <w:rPr>
          <w:rFonts w:ascii="David" w:hAnsi="David" w:cs="David"/>
          <w:sz w:val="24"/>
          <w:szCs w:val="24"/>
          <w:rtl/>
        </w:rPr>
        <w:t>ב</w:t>
      </w:r>
      <w:r w:rsidR="0092293E" w:rsidRPr="0092293E">
        <w:rPr>
          <w:rFonts w:ascii="David" w:hAnsi="David" w:cs="David" w:hint="cs"/>
          <w:sz w:val="24"/>
          <w:szCs w:val="24"/>
        </w:rPr>
        <w:t>XX</w:t>
      </w:r>
      <w:r w:rsidR="0092293E">
        <w:rPr>
          <w:rFonts w:ascii="David" w:hAnsi="David" w:cs="David" w:hint="cs"/>
          <w:sz w:val="24"/>
          <w:szCs w:val="24"/>
        </w:rPr>
        <w:t>X</w:t>
      </w:r>
      <w:r>
        <w:rPr>
          <w:rFonts w:ascii="David" w:hAnsi="David" w:cs="David"/>
          <w:sz w:val="24"/>
          <w:szCs w:val="24"/>
          <w:rtl/>
        </w:rPr>
        <w:t xml:space="preserve"> וציין לגביה: "אני עובד בעבודה שאני לא מבין איך אני עושה את זה אני עובד אני אמנם לא עובד קשה אני לא עובד פיסי אני ראש צוות גם פה מנהל עבודה כזה שיש לי צוות של תאילנדים שאני לוקח אותם בין </w:t>
      </w:r>
      <w:r w:rsidR="0092293E">
        <w:rPr>
          <w:rFonts w:ascii="David" w:hAnsi="David" w:cs="David" w:hint="cs"/>
          <w:sz w:val="24"/>
          <w:szCs w:val="24"/>
        </w:rPr>
        <w:t>XXX</w:t>
      </w:r>
      <w:r>
        <w:rPr>
          <w:rFonts w:ascii="David" w:hAnsi="David" w:cs="David"/>
          <w:sz w:val="24"/>
          <w:szCs w:val="24"/>
          <w:rtl/>
        </w:rPr>
        <w:t>..." (עמ' 37 שורות 21-17 לפרוטוקול). גם בת זוגו אישרה בעדותה כי "</w:t>
      </w:r>
      <w:r>
        <w:rPr>
          <w:rFonts w:ascii="David" w:hAnsi="David" w:cs="David"/>
          <w:b/>
          <w:bCs/>
          <w:sz w:val="24"/>
          <w:szCs w:val="24"/>
          <w:rtl/>
        </w:rPr>
        <w:t>זה לא עבודה שהוא עובד בה לא, לא בכיף זה בלשון המעטה</w:t>
      </w:r>
      <w:r>
        <w:rPr>
          <w:rFonts w:ascii="David" w:hAnsi="David" w:cs="David"/>
          <w:sz w:val="24"/>
          <w:szCs w:val="24"/>
          <w:rtl/>
        </w:rPr>
        <w:t xml:space="preserve">." (עמ' 15 שורות 35-24 לפרוטוקול, ההדגשה שלי – מר"א).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אשר על כן, גם ביחס לעבודה נטענת זו לא הוכחו תנאי ההעסקה, היקף ההשתכרות, או סיבת הפסקת העבודה וממילא לא הוכח כל קשר בינם לבין התאונות מושא דיוננו.</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b/>
          <w:bCs/>
          <w:sz w:val="24"/>
          <w:szCs w:val="24"/>
          <w:rtl/>
        </w:rPr>
        <w:t xml:space="preserve">שישית, </w:t>
      </w:r>
      <w:r>
        <w:rPr>
          <w:rFonts w:ascii="David" w:hAnsi="David" w:cs="David"/>
          <w:sz w:val="24"/>
          <w:szCs w:val="24"/>
          <w:rtl/>
        </w:rPr>
        <w:t xml:space="preserve">התובע הצטייר לטעמי כאדם בררן בעבודות ובעיסוקים שהוא בוחר לעצמו. מסקנה זו נתמכת בעובדה שלא התגייס לצבא מטעמים בררניים (התובע הודה בעדותו כי לא התגייס לצבא על אף שהייתה לו אפשרות להתגייס, וזאת בשל היותו שמן ובשל היצע התפקידים שהוצע לו – ר' עמ' 22 שורות 34-16 לפרוטוקול). מסקנה זו גם נתמכת בכך שהתובע לא פנה למחלקת השיקום בביטוח הלאומי על מנת לבחון אפשרויות שיקום. כאשר עומת עם כך בחקירתו הנגדית, ציין כי לא ידע שניתן לפנות לביטוח הלאומי לצרכי שיקום, ואולם תשובה זו אינה מתיישבת עם העובדה שכן ידע לפנות לביטוח הלאומי לצורך הכרה בתאונה כתאונת עבודה וקבלת דמי פגיעה (עמ' 63 שורות 34-10 לפרוטוקול).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אשר על כן, בשים לב לכך שהתובע דנן נטול השכלה פורמלית, משהעבודות בהן עבד התובע הן בעלות היבט ניהולי דומיננטי יותר מההיבט הפיסי, בהתחשב בכך שהנכויות שיוחסו לכל אחת מהתאונות הן נכויות נמוכות יחסית, בהיעדר כל קשר מוכח בין הפסקת העבודות לבין מי מהתאונות, ובפרט בשים לב לניסיונות ההאדרה והעצמה של הפגיעה התפקודית כפי שעלו מעדויות התובע ובת זוגו, אינני מוצאת כל הצדקה לייחס לתובע נכות תפקודית גבוהה מזו הרפואית.</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color w:val="000000"/>
          <w:sz w:val="24"/>
          <w:szCs w:val="24"/>
          <w:rtl/>
        </w:rPr>
        <w:t xml:space="preserve">כמו כן, בענייננו לא שוכנעתי כי לנכות הרפואית בגין השבר בחוליה השפעה תפקודית נוספת להשפעה  התפקודית של הנכות שנקבעה לו כתוצאה מההגבלה בטווח התנועות. בניגוד לפסיקה </w:t>
      </w:r>
      <w:r>
        <w:rPr>
          <w:rFonts w:ascii="David" w:hAnsi="David" w:cs="David"/>
          <w:color w:val="000000"/>
          <w:sz w:val="24"/>
          <w:szCs w:val="24"/>
          <w:rtl/>
        </w:rPr>
        <w:lastRenderedPageBreak/>
        <w:t xml:space="preserve">אליה הפנה התובע בסיכומיו לעניין זה (ר' למשל ע"א 62416-10-17 </w:t>
      </w:r>
      <w:r>
        <w:rPr>
          <w:rFonts w:ascii="David" w:hAnsi="David" w:cs="David"/>
          <w:b/>
          <w:bCs/>
          <w:color w:val="000000"/>
          <w:sz w:val="24"/>
          <w:szCs w:val="24"/>
          <w:rtl/>
        </w:rPr>
        <w:t>פלוני נ' אליהו חברה לביטוח בע"מ</w:t>
      </w:r>
      <w:r>
        <w:rPr>
          <w:rFonts w:ascii="David" w:hAnsi="David" w:cs="David"/>
          <w:color w:val="000000"/>
          <w:sz w:val="24"/>
          <w:szCs w:val="24"/>
          <w:rtl/>
        </w:rPr>
        <w:t xml:space="preserve"> (22.03.2018); </w:t>
      </w:r>
      <w:r>
        <w:rPr>
          <w:rFonts w:ascii="David" w:hAnsi="David" w:cs="David"/>
          <w:b/>
          <w:bCs/>
          <w:sz w:val="24"/>
          <w:szCs w:val="24"/>
          <w:rtl/>
        </w:rPr>
        <w:t>ת"א 1402-08-13 פלונית נ' שומרה חב' לביטוח בע"מ</w:t>
      </w:r>
      <w:r>
        <w:rPr>
          <w:rFonts w:ascii="David" w:hAnsi="David" w:cs="David"/>
          <w:color w:val="000000"/>
          <w:sz w:val="24"/>
          <w:szCs w:val="24"/>
          <w:rtl/>
        </w:rPr>
        <w:t xml:space="preserve">  (22.10.2013)), בענייננו מומחה ביהמ"ש התייחס מפורשות הן לנכות בגין ההגבלה בתנועה (בחוות הדעת המקורית) והן לנכות בגין השבר בחוליה (במענה על שאלת ההבהרה). </w:t>
      </w:r>
    </w:p>
    <w:p w:rsidR="00CF7D66" w:rsidRDefault="00CF7D66" w:rsidP="00CF7D66">
      <w:pPr>
        <w:pStyle w:val="a3"/>
        <w:rPr>
          <w:rFonts w:ascii="David" w:hAnsi="David" w:cs="David"/>
          <w:color w:val="000000"/>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color w:val="000000"/>
          <w:sz w:val="24"/>
          <w:szCs w:val="24"/>
          <w:rtl/>
        </w:rPr>
        <w:t>תשובתו של המומחה האורתופדי לשאלת ההבהרה מלמדת כי המומחה לא מצא בשבר בחוליה כל מגבלה תפקודית נוספת על זו שקבע לתובע בגין הגבלה בתנועת אותו איבר. ככל שאין בעצם התרחשותו של השבר כדי להשפיע על התפקוד והתנועה, ומשמדובר בסופו של יום בטענה שבמומחיות שניתנה לה בענייננו התייחסות מפורשת מצד המומחה האורתופדי, ומשאופן זה של הבנת עמדת המומחה הוצג לתובע ולב"כ גם לפני ישיבת ההוכחות והתובע בחר משיקוליו לוותר חקירת המומחה, ובפרט בהתייחס לנטיות ההגזמה וההאדרה של התובע בעדותו – דומני כי אין כל מקום לסטות מעמדתו המקצועית של המומחה, ואין מקום לייחס לתובע נכות תפקודית בגין הנכות הרפואית שיוחסה לשבר בחולייה.</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אשר על כן, ומשלא ניתן לטעמי בנסיבות דנן להבחין בין התאונות לעניין מידת הפגיעה התפקודית שהסבה לו בפועל כל אחת מהן בנפרד, אני מעמידה את נכותו התפקודית של התובע בקשר עם כל אחת מהתאונות על שיעור של 6.2%. </w:t>
      </w:r>
    </w:p>
    <w:p w:rsidR="00CF7D66" w:rsidRDefault="00CF7D66" w:rsidP="00CF7D66">
      <w:pPr>
        <w:pStyle w:val="a3"/>
        <w:rPr>
          <w:rFonts w:ascii="David" w:hAnsi="David" w:cs="David"/>
          <w:sz w:val="24"/>
          <w:szCs w:val="24"/>
        </w:rPr>
      </w:pPr>
    </w:p>
    <w:p w:rsidR="00CF7D66" w:rsidRDefault="00CF7D66" w:rsidP="00CF7D66">
      <w:pPr>
        <w:tabs>
          <w:tab w:val="left" w:pos="368"/>
        </w:tabs>
        <w:spacing w:line="360" w:lineRule="auto"/>
        <w:ind w:left="-57"/>
        <w:jc w:val="both"/>
        <w:rPr>
          <w:rFonts w:ascii="David" w:hAnsi="David"/>
          <w:b/>
          <w:bCs/>
          <w:u w:val="single"/>
          <w:rtl/>
        </w:rPr>
      </w:pPr>
      <w:r>
        <w:rPr>
          <w:rFonts w:ascii="David" w:hAnsi="David"/>
          <w:b/>
          <w:bCs/>
          <w:u w:val="single"/>
          <w:rtl/>
        </w:rPr>
        <w:t>ראשי הנזק</w:t>
      </w:r>
    </w:p>
    <w:p w:rsidR="00CF7D66" w:rsidRDefault="00CF7D66" w:rsidP="00CF7D66">
      <w:pPr>
        <w:tabs>
          <w:tab w:val="left" w:pos="368"/>
        </w:tabs>
        <w:spacing w:line="360" w:lineRule="auto"/>
        <w:jc w:val="both"/>
        <w:rPr>
          <w:rFonts w:ascii="David" w:hAnsi="David"/>
          <w:b/>
          <w:bCs/>
          <w:u w:val="single"/>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למען הנוחות אפרט להלן את עיקר הנתונים הדרושים לעניין:</w:t>
      </w:r>
    </w:p>
    <w:p w:rsidR="00CF7D66" w:rsidRDefault="00CF7D66" w:rsidP="0092293E">
      <w:pPr>
        <w:pStyle w:val="a3"/>
        <w:tabs>
          <w:tab w:val="left" w:pos="368"/>
        </w:tabs>
        <w:spacing w:line="360" w:lineRule="auto"/>
        <w:ind w:left="368"/>
        <w:jc w:val="both"/>
        <w:rPr>
          <w:rFonts w:ascii="David" w:hAnsi="David" w:cs="David"/>
          <w:sz w:val="24"/>
          <w:szCs w:val="24"/>
          <w:rtl/>
        </w:rPr>
      </w:pPr>
      <w:r>
        <w:rPr>
          <w:rFonts w:ascii="David" w:hAnsi="David" w:cs="David"/>
          <w:sz w:val="24"/>
          <w:szCs w:val="24"/>
          <w:rtl/>
        </w:rPr>
        <w:t xml:space="preserve">התובע </w:t>
      </w:r>
      <w:r w:rsidRPr="0092293E">
        <w:rPr>
          <w:rFonts w:ascii="David" w:hAnsi="David" w:cs="David"/>
          <w:sz w:val="24"/>
          <w:szCs w:val="24"/>
          <w:rtl/>
        </w:rPr>
        <w:t xml:space="preserve">יליד: </w:t>
      </w:r>
      <w:r w:rsidR="0092293E" w:rsidRPr="0092293E">
        <w:rPr>
          <w:rFonts w:ascii="David" w:hAnsi="David" w:cs="David" w:hint="cs"/>
          <w:sz w:val="24"/>
          <w:szCs w:val="24"/>
        </w:rPr>
        <w:t>XXX</w:t>
      </w:r>
      <w:r w:rsidRPr="0092293E">
        <w:rPr>
          <w:rFonts w:ascii="David" w:hAnsi="David" w:cs="David"/>
          <w:sz w:val="24"/>
          <w:szCs w:val="24"/>
          <w:rtl/>
        </w:rPr>
        <w:t>.</w:t>
      </w:r>
    </w:p>
    <w:p w:rsidR="00CF7D66" w:rsidRDefault="00CF7D66" w:rsidP="00CF7D66">
      <w:pPr>
        <w:pStyle w:val="a3"/>
        <w:tabs>
          <w:tab w:val="left" w:pos="368"/>
        </w:tabs>
        <w:spacing w:line="360" w:lineRule="auto"/>
        <w:ind w:left="368"/>
        <w:jc w:val="both"/>
        <w:rPr>
          <w:rFonts w:ascii="David" w:hAnsi="David" w:cs="David"/>
          <w:sz w:val="24"/>
          <w:szCs w:val="24"/>
          <w:rtl/>
        </w:rPr>
      </w:pPr>
      <w:r>
        <w:rPr>
          <w:rFonts w:ascii="David" w:hAnsi="David" w:cs="David"/>
          <w:sz w:val="24"/>
          <w:szCs w:val="24"/>
          <w:rtl/>
        </w:rPr>
        <w:t>מועד התאונה הראשונה: 15.9.2013.</w:t>
      </w:r>
    </w:p>
    <w:p w:rsidR="00CF7D66" w:rsidRDefault="00CF7D66" w:rsidP="00CF7D66">
      <w:pPr>
        <w:pStyle w:val="a3"/>
        <w:tabs>
          <w:tab w:val="left" w:pos="368"/>
        </w:tabs>
        <w:spacing w:line="360" w:lineRule="auto"/>
        <w:ind w:left="368"/>
        <w:jc w:val="both"/>
        <w:rPr>
          <w:rFonts w:ascii="David" w:hAnsi="David" w:cs="David"/>
          <w:sz w:val="24"/>
          <w:szCs w:val="24"/>
          <w:rtl/>
        </w:rPr>
      </w:pPr>
      <w:r>
        <w:rPr>
          <w:rFonts w:ascii="David" w:hAnsi="David" w:cs="David"/>
          <w:sz w:val="24"/>
          <w:szCs w:val="24"/>
          <w:rtl/>
        </w:rPr>
        <w:t>מועד התאונה השנייה: 11.7.2018.</w:t>
      </w:r>
    </w:p>
    <w:p w:rsidR="00CF7D66" w:rsidRDefault="00CF7D66" w:rsidP="00CF7D66">
      <w:pPr>
        <w:pStyle w:val="a3"/>
        <w:tabs>
          <w:tab w:val="left" w:pos="368"/>
        </w:tabs>
        <w:spacing w:line="360" w:lineRule="auto"/>
        <w:ind w:left="368"/>
        <w:jc w:val="both"/>
        <w:rPr>
          <w:rFonts w:ascii="David" w:hAnsi="David" w:cs="David"/>
          <w:sz w:val="24"/>
          <w:szCs w:val="24"/>
          <w:rtl/>
        </w:rPr>
      </w:pPr>
      <w:r>
        <w:rPr>
          <w:rFonts w:ascii="David" w:hAnsi="David" w:cs="David"/>
          <w:sz w:val="24"/>
          <w:szCs w:val="24"/>
          <w:rtl/>
        </w:rPr>
        <w:t>גיל התובע במועד התאונה הראשונה: 31.1.</w:t>
      </w:r>
    </w:p>
    <w:p w:rsidR="00CF7D66" w:rsidRDefault="00CF7D66" w:rsidP="00CF7D66">
      <w:pPr>
        <w:pStyle w:val="a3"/>
        <w:tabs>
          <w:tab w:val="left" w:pos="368"/>
        </w:tabs>
        <w:spacing w:line="360" w:lineRule="auto"/>
        <w:ind w:left="368"/>
        <w:jc w:val="both"/>
        <w:rPr>
          <w:rFonts w:ascii="David" w:hAnsi="David" w:cs="David"/>
          <w:sz w:val="24"/>
          <w:szCs w:val="24"/>
          <w:rtl/>
        </w:rPr>
      </w:pPr>
      <w:r>
        <w:rPr>
          <w:rFonts w:ascii="David" w:hAnsi="David" w:cs="David"/>
          <w:sz w:val="24"/>
          <w:szCs w:val="24"/>
          <w:rtl/>
        </w:rPr>
        <w:t>גיל התובע במועד התאונה השנייה: 35.11.</w:t>
      </w:r>
    </w:p>
    <w:p w:rsidR="00CF7D66" w:rsidRDefault="00CF7D66" w:rsidP="00CF7D66">
      <w:pPr>
        <w:pStyle w:val="a3"/>
        <w:tabs>
          <w:tab w:val="left" w:pos="368"/>
        </w:tabs>
        <w:spacing w:line="360" w:lineRule="auto"/>
        <w:ind w:left="368"/>
        <w:jc w:val="both"/>
        <w:rPr>
          <w:rFonts w:ascii="David" w:hAnsi="David" w:cs="David"/>
          <w:sz w:val="24"/>
          <w:szCs w:val="24"/>
        </w:rPr>
      </w:pPr>
      <w:r>
        <w:rPr>
          <w:rFonts w:ascii="David" w:hAnsi="David" w:cs="David"/>
          <w:sz w:val="24"/>
          <w:szCs w:val="24"/>
          <w:rtl/>
        </w:rPr>
        <w:t>גיל התובע כיום: 40.9.</w:t>
      </w:r>
    </w:p>
    <w:p w:rsidR="00CF7D66" w:rsidRDefault="00CF7D66" w:rsidP="00CF7D66">
      <w:pPr>
        <w:pStyle w:val="a3"/>
        <w:tabs>
          <w:tab w:val="left" w:pos="368"/>
        </w:tabs>
        <w:spacing w:line="360" w:lineRule="auto"/>
        <w:ind w:left="368"/>
        <w:jc w:val="both"/>
        <w:rPr>
          <w:rFonts w:ascii="David" w:hAnsi="David" w:cs="David"/>
          <w:sz w:val="24"/>
          <w:szCs w:val="24"/>
          <w:rtl/>
        </w:rPr>
      </w:pPr>
      <w:r>
        <w:rPr>
          <w:rFonts w:ascii="David" w:hAnsi="David" w:cs="David"/>
          <w:sz w:val="24"/>
          <w:szCs w:val="24"/>
          <w:rtl/>
        </w:rPr>
        <w:t>שיעור נכות רפואית כתוצאה מהתאונה הראשונה: 6.2%</w:t>
      </w:r>
    </w:p>
    <w:p w:rsidR="00CF7D66" w:rsidRDefault="00CF7D66" w:rsidP="00CF7D66">
      <w:pPr>
        <w:pStyle w:val="a3"/>
        <w:tabs>
          <w:tab w:val="left" w:pos="368"/>
        </w:tabs>
        <w:spacing w:line="360" w:lineRule="auto"/>
        <w:ind w:left="368"/>
        <w:jc w:val="both"/>
        <w:rPr>
          <w:rFonts w:ascii="David" w:hAnsi="David" w:cs="David"/>
          <w:sz w:val="24"/>
          <w:szCs w:val="24"/>
        </w:rPr>
      </w:pPr>
      <w:r>
        <w:rPr>
          <w:rFonts w:ascii="David" w:hAnsi="David" w:cs="David"/>
          <w:sz w:val="24"/>
          <w:szCs w:val="24"/>
          <w:rtl/>
        </w:rPr>
        <w:t>שיעור נכות תפקודית כתוצאה מהתאונה הראשונה: 6.2%</w:t>
      </w:r>
    </w:p>
    <w:p w:rsidR="00CF7D66" w:rsidRDefault="00CF7D66" w:rsidP="00CF7D66">
      <w:pPr>
        <w:pStyle w:val="a3"/>
        <w:tabs>
          <w:tab w:val="left" w:pos="368"/>
        </w:tabs>
        <w:spacing w:line="360" w:lineRule="auto"/>
        <w:ind w:left="368"/>
        <w:jc w:val="both"/>
        <w:rPr>
          <w:rFonts w:ascii="David" w:hAnsi="David" w:cs="David"/>
          <w:sz w:val="24"/>
          <w:szCs w:val="24"/>
        </w:rPr>
      </w:pPr>
      <w:r>
        <w:rPr>
          <w:rFonts w:ascii="David" w:hAnsi="David" w:cs="David"/>
          <w:sz w:val="24"/>
          <w:szCs w:val="24"/>
          <w:rtl/>
        </w:rPr>
        <w:t>שיעור נכות רפואית כתוצאה מהתאונה השנייה: 11%</w:t>
      </w:r>
    </w:p>
    <w:p w:rsidR="00CF7D66" w:rsidRDefault="00CF7D66" w:rsidP="00CF7D66">
      <w:pPr>
        <w:pStyle w:val="a3"/>
        <w:tabs>
          <w:tab w:val="left" w:pos="368"/>
        </w:tabs>
        <w:spacing w:line="360" w:lineRule="auto"/>
        <w:ind w:left="368"/>
        <w:jc w:val="both"/>
        <w:rPr>
          <w:rFonts w:ascii="David" w:hAnsi="David" w:cs="David"/>
          <w:sz w:val="24"/>
          <w:szCs w:val="24"/>
          <w:rtl/>
        </w:rPr>
      </w:pPr>
      <w:r>
        <w:rPr>
          <w:rFonts w:ascii="David" w:hAnsi="David" w:cs="David"/>
          <w:sz w:val="24"/>
          <w:szCs w:val="24"/>
          <w:rtl/>
        </w:rPr>
        <w:t xml:space="preserve">שיעור נכות תפקודית כתוצאה מהתאונה השנייה: 6.2% </w:t>
      </w:r>
    </w:p>
    <w:p w:rsidR="00CF7D66" w:rsidRDefault="00CF7D66" w:rsidP="00CF7D66">
      <w:pPr>
        <w:tabs>
          <w:tab w:val="left" w:pos="368"/>
        </w:tabs>
        <w:spacing w:line="360" w:lineRule="auto"/>
        <w:jc w:val="both"/>
        <w:rPr>
          <w:rFonts w:ascii="David" w:hAnsi="David"/>
          <w:b/>
          <w:bCs/>
          <w:u w:val="single"/>
          <w:rtl/>
        </w:rPr>
      </w:pPr>
      <w:r>
        <w:rPr>
          <w:rFonts w:ascii="David" w:hAnsi="David"/>
          <w:b/>
          <w:bCs/>
          <w:u w:val="single"/>
          <w:rtl/>
        </w:rPr>
        <w:t xml:space="preserve">הפסדי שכר לעבר </w:t>
      </w:r>
    </w:p>
    <w:p w:rsidR="00CF7D66" w:rsidRDefault="00CF7D66" w:rsidP="00CF7D66">
      <w:pPr>
        <w:tabs>
          <w:tab w:val="left" w:pos="368"/>
        </w:tabs>
        <w:spacing w:line="360" w:lineRule="auto"/>
        <w:jc w:val="both"/>
        <w:rPr>
          <w:rFonts w:ascii="David" w:hAnsi="David"/>
          <w:u w:val="single"/>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בתחשיב הנזק טען התובע להפסד שכר בפועל בסך 10,000 ₪ ולהפסד שכר גלובלי במשך כשבע וחצי שנים בסך של 15,000 ₪ בקשר עם שתי התאונות יחדיו.</w:t>
      </w:r>
    </w:p>
    <w:p w:rsidR="00CF7D66" w:rsidRDefault="00CF7D66" w:rsidP="00CF7D66">
      <w:pPr>
        <w:pStyle w:val="a3"/>
        <w:tabs>
          <w:tab w:val="left" w:pos="368"/>
        </w:tabs>
        <w:spacing w:line="360" w:lineRule="auto"/>
        <w:ind w:left="368"/>
        <w:jc w:val="both"/>
        <w:rPr>
          <w:rFonts w:ascii="David" w:hAnsi="David" w:cs="David"/>
          <w:sz w:val="24"/>
          <w:szCs w:val="24"/>
          <w:rtl/>
        </w:rPr>
      </w:pPr>
      <w:r>
        <w:rPr>
          <w:rFonts w:ascii="David" w:hAnsi="David" w:cs="David"/>
          <w:sz w:val="24"/>
          <w:szCs w:val="24"/>
          <w:rtl/>
        </w:rPr>
        <w:t xml:space="preserve"> </w:t>
      </w: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lastRenderedPageBreak/>
        <w:t xml:space="preserve">בסיכומיו חזר התובע על טענותיו כפי שצוינו בתחשיב הנזק מטעמו והוסיף, כי בחודש 6/21 פוטר מעבודתו וכאשר מצא עבודה בחודש 3/22 השתכר שכר נמוך משמעותית. התובע העמיד את הפסדי שכרו בגין התאונה הראשונה עד 6/21 על 13,000 ₪ ובגין התאונה השנייה עד 6/21 על 12,000 ₪ מעבר לתגמולי המל"ל, ומחודש 6/21 עד היום העמיד את הפסדיו לעבר בגין התאונה הראשונה על 5,153 ₪ ובגין התאונה השנייה על 8,773 ₪.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מנגד, הנתבעת 1 טענה בתחשיב הנזק, כי ממוצע שכרו של התובע עובר לתאונה הראשונה עמד על 5,830 ₪, וכי על פי תלושי השכר שצירף ותקופת אי-הכושר בת 18 הימים שאושרה לו, הפסדיו לעבר עומדים על 1,457 ₪ בלבד.</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עוד טענה הנתבעת 1 כי בחודשים נובמבר ודצמבר לאחר התאונה לא נפגע שכרו של התובע ועם השנים שכרו אף הושבח, כך שאין לפסוק לו כל פיצוי מעבר לפיצוי המוכח לעיל בגין הפסדי שכר לעבר בקשר עם התאונה הראשונה.</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הנתבעת 2 טענה מצדה בתחשיב הנזק מטעמה, כי התובע נעדר מעבודתו רק שבועיים לאחר התאונה השנייה ועל פי תנאי הפוליסה אצלה אין לפצותו בגין 7 ימי היעדרות ראשונים. ולפיכך, יש לפצותו בגין שבוע היעדרות מעבודה אחד בלבד, קרי - בסך 2,000 ₪. לטענתה לא צירף תלושי שכר מהתקופה שלאחר התאונה ולא הוכיח נזקים נוספים לעבר.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בסיכומיה חזרה הנתבעת 2 על טענותיה ואולם ציינה, כי אין לפצות את התובע בגין רכיב נזק זה בהיעדר ראיות תומכות ונוכח תנאי הפוליסה כאמור לעיל, והוסיפה כי מנתוני שכרו של התובע יש ללמוד על השבחת שכרו למשך שלוש שנים והיעדר הפסדים בעין. עוד הוסיפה, כי לא ברור מה הסיבה שהובילה לפיטוריו של התובע וטענה כי הוא לא סיפק אסמכתה להוכחת טענותיו לרבות זימון קולגות לעבודתו למתן עדות.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התאונה הראשונה אירעה ביום 15.9.13. שכרו הממוצע של התובע לחודשים 6/13; 7/13; 8/13 (על פי תלושי השכר שצירף לתצהירו) עמד על 6,027 ₪ נטו. בחודש התאונה השתכר התובע 4,374 ₪ נטו, כך שהוכיח הפסד השתכרות </w:t>
      </w:r>
      <w:r>
        <w:rPr>
          <w:rFonts w:ascii="David" w:hAnsi="David" w:cs="David"/>
          <w:b/>
          <w:bCs/>
          <w:sz w:val="24"/>
          <w:szCs w:val="24"/>
          <w:rtl/>
        </w:rPr>
        <w:t>בסך 1,653 ₪ בחודש זה</w:t>
      </w:r>
      <w:r>
        <w:rPr>
          <w:rFonts w:ascii="David" w:hAnsi="David" w:cs="David"/>
          <w:sz w:val="24"/>
          <w:szCs w:val="24"/>
          <w:rtl/>
        </w:rPr>
        <w:t>. התובע לא צירף את תלוש השכר לחודש 10/13 ולא היה בפיו הסבר מניח דעת למחדל זה (עמ' 33 שורות 27-22 לפרוטוקול), ומכאן שלא הוכיח הפסד בגין חודש זה.</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בנוסף, עיון בתלושי השכר לחודשים 11/13 ו – 12/13 אינו מלמד על הפסדי שכר משמעותיים שניתן לייחס לתאונה (לחודש 11/13 שכר בסך 6,256 ₪ נטו, ולחודש 12/13 שכר בסך 5,952 ₪ נטו).</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התאונה השנייה אירעה ביום 11.7.18. ממוצע שכרו של התובע בששת החודשים שקדמו לתאונה השנייה לפי תלושי המשכורת לחודשים 1/18-6/18 עמד על 11,030 ₪ נטו. בחודש התאונה שכרו עמד על 4,943 ₪ נטו, כך </w:t>
      </w:r>
      <w:r>
        <w:rPr>
          <w:rFonts w:ascii="David" w:hAnsi="David" w:cs="David"/>
          <w:b/>
          <w:bCs/>
          <w:sz w:val="24"/>
          <w:szCs w:val="24"/>
          <w:rtl/>
        </w:rPr>
        <w:t>שהוכיח הפסד השתכרות בסך 6,096 ₪ בגין חודש זה.</w:t>
      </w:r>
      <w:r>
        <w:rPr>
          <w:rFonts w:ascii="David" w:hAnsi="David" w:cs="David"/>
          <w:sz w:val="24"/>
          <w:szCs w:val="24"/>
          <w:rtl/>
        </w:rPr>
        <w:t xml:space="preserve"> מטופס התביעה שהגיש למל"ל עולה כי התובע דיווח למל"ל שחזר לעבודה מלאה ביום 1.8.18, </w:t>
      </w:r>
      <w:r>
        <w:rPr>
          <w:rFonts w:ascii="David" w:hAnsi="David" w:cs="David"/>
          <w:sz w:val="24"/>
          <w:szCs w:val="24"/>
          <w:rtl/>
        </w:rPr>
        <w:lastRenderedPageBreak/>
        <w:t xml:space="preserve">קרי 3 שבועות בלבד לאחר התאונה (נספח ב' למוצגי נתבעת 2). בחודש 8/18 כבר שב ועלה שכרו בדומה לשכר הקודם ועמד על סך של 13,187 ₪ נטו (סכום הכולל דמי הבראה שנתיים).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מדו"ח רציפות הביטוח של התובע (נספח 2 למוצגי נתבעת 1) עולה כי בשנת 2014 השתכר 69,602 ₪ בגין 11 חודשי עבודה (6,327 ₪ ברוטו לחודש); בשנת 2015 השתכר 104,829 ₪ ברוטו בגין 12 חודשי עבודה (8,736 ₪ לחודש ברוטו); בשנת 2016 השתכר 135,253 ₪ ברוטו בגין 12 חודשי עבודה (12,518 ₪ ברוטו לחודש); בשנת 2017 השתכר 150,214 ₪ ברוטו בגין 12 חודשי עבודה (12,518 ₪ ברוטו לחודש); בשנת 2018 השתכר 141,538 ₪ ברוטו בגין 12 חודשי עבודה (11,795 ₪ ברוט לחודש); בשנת 2019 השתכר 156,336 ₪ ברוטו בגין 12 חודשי עבודה (13,028 ₪ ברוטו לחודש); בשנת 2020 השתכר 154,897 ₪ בגין 12 חודשי עבודה (12,908 ₪ ברוטו לחודש) ובשנת 2021 השתכר בגין 6 חודשי השנה הראשונים סך של 69,090 ₪ ברוטו (סך של 11,515 ₪ ברוטו לחודש).</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אשר על כן, למעט הפסדי שכר בחודש התאונה הראשונה ובחודש התאונה השנייה, נראה כי שכרו של התובע רק הלך והשביח למצער עד שנת 2020, כאשר לא שוכנעתי שניתן לייחס את פיטוריו בחודש 6/21  או את הפסקת עבודתו בחודש 3/23 למי מהתאונות.</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נראה אם כן, כי התובע הוכיח הפסד השתכרות לעבר כתוצאה מהתאונה הראשונה בסך 1,653 ₪ בלבד. הפסדי השתכרות לעבר כתוצאה מהתאונה השנייה עומדים על סך של 6,096 ₪, ואולם מאחר שבהתאם לתנאי הפוליסה אצל הנתבעת 2, אין פיצוי בגין 7 ימי אבדן כושר עבודה ראשונים לאחר התאונה (קרי 11,030/4=2,757 ₪, נספח א' למוצגי נתבעת 2)), התובע הוכיח זכאות לפיצוי בגין הפסדי השתכרות לעבר כתוצאה מהתאונה השנייה בסך 3,339 ₪ בלבד.</w:t>
      </w:r>
    </w:p>
    <w:p w:rsidR="00CF7D66" w:rsidRDefault="00CF7D66" w:rsidP="00CF7D66">
      <w:pPr>
        <w:tabs>
          <w:tab w:val="left" w:pos="368"/>
        </w:tabs>
        <w:spacing w:line="360" w:lineRule="auto"/>
        <w:jc w:val="both"/>
        <w:rPr>
          <w:rFonts w:ascii="David" w:hAnsi="David"/>
          <w:b/>
          <w:bCs/>
          <w:u w:val="single"/>
        </w:rPr>
      </w:pPr>
      <w:r>
        <w:rPr>
          <w:rFonts w:ascii="David" w:hAnsi="David"/>
          <w:b/>
          <w:bCs/>
          <w:u w:val="single"/>
          <w:rtl/>
        </w:rPr>
        <w:t xml:space="preserve">הפסדי השתכרות לעתיד </w:t>
      </w:r>
    </w:p>
    <w:p w:rsidR="00CF7D66" w:rsidRDefault="00CF7D66" w:rsidP="00CF7D66">
      <w:pPr>
        <w:pStyle w:val="a3"/>
        <w:tabs>
          <w:tab w:val="left" w:pos="368"/>
        </w:tabs>
        <w:spacing w:line="360" w:lineRule="auto"/>
        <w:ind w:left="368"/>
        <w:jc w:val="both"/>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בתחשיב הנזק מטעמו טען התובע כי הפסדי שכרו העתידיים עומדים על סך של 418,377 ₪  בחישוב על בסיס שכר בסך של 11,164 ₪ ונכות תפקודית בשיעור של 16.5%, ובתוספת הפסדי פנסיה בסך של 46,875 ₪ נוספים. לצורך פשרה העמיד את סכום הפיצוי בגין רכיב נזק זה בסך של 350,000 ₪ המשקפים  כ - 80% מחישוב אקטוארי מלא. </w:t>
      </w:r>
    </w:p>
    <w:p w:rsidR="00CF7D66" w:rsidRDefault="00CF7D66" w:rsidP="00CF7D66">
      <w:pPr>
        <w:pStyle w:val="a3"/>
        <w:tabs>
          <w:tab w:val="left" w:pos="368"/>
        </w:tabs>
        <w:spacing w:line="360" w:lineRule="auto"/>
        <w:ind w:left="368"/>
        <w:jc w:val="both"/>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בסיכומיו טען, כי הפסדי שכרו העתידים עומדים על סך של 441,390 ₪ על בסיס שכר בסך של 12,057 ₪ ונכות תפקודית בשיעור של 16.5%, ובתוספת הפסדי פנסיה בסך של 60,040 ₪. את סך הפסדיו חילק התובע בין הנתבעות באופן שבו הנתבעת 1 תישא בשיעור של 37% מסך ההפסדים קרי, 185,529 ₪ ונתבעת 2 תישא בשיעור של 63% מסך ההפסדים קרי, 315,901 ₪.  </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הנתבעת 1 טענה בתחשיבה (כזכור – לא הגישה סיכומים) כי לנכותו הרפואית של התובע כפי שנקבעה על ידי המומחה אין השפעה על עבודתו ואינה גורעת מכישוריו התעסוקתיים וכי </w:t>
      </w:r>
      <w:r>
        <w:rPr>
          <w:rFonts w:ascii="David" w:hAnsi="David" w:cs="David"/>
          <w:sz w:val="24"/>
          <w:szCs w:val="24"/>
          <w:rtl/>
        </w:rPr>
        <w:lastRenderedPageBreak/>
        <w:t>מדובר בשברירי נכות הנעדרים השלכה תפקודית. לצרכי פשרה בלבד העמידה את סך הפסדי ההשתכרות לעתיד של התובע על סכום גלובלי של 15,000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גם הנתבעת 2 טענה כי לנכותו הרפואית של התובע אין כלל השלכה תפקודית ולפיכך אין מקום לפצותו בגין רכיב נזק זה. בסיכומיה חזרה על טענותיה והוסיפה כי לא בכדי התובע בחר שלא להגיש תביעה לאגף השיקום במל"ל על מנת שיוכר כנכה נזקק כמו גם לא תמך טענותיו בעניין זה בעדות גורם תעסוקתי רלוונטי או קולגה לעבודה. הנתבעת 2 טענה כי לכל היותר יש להעמיד את שיעור הפיצוי בגין רכיב נזק זה על סך של 25,000 ₪.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כפי שפורט לעיל בהרחבה, עיון בדו"ח רציפות הביטוח של התובע מלמד שבין התאונה הראשונה לתאונה השנייה שכרו של התובע הלך והשביח, והוא הלך והשביח גם לאחר התאונה השנייה, משך מספר שנים (למצער עד לשנת 2020).</w:t>
      </w:r>
    </w:p>
    <w:p w:rsidR="00CF7D66" w:rsidRDefault="00CF7D66" w:rsidP="00CF7D66">
      <w:pPr>
        <w:pStyle w:val="a3"/>
        <w:rPr>
          <w:rFonts w:ascii="David" w:hAnsi="David" w:cs="David"/>
          <w:sz w:val="24"/>
          <w:szCs w:val="24"/>
        </w:rPr>
      </w:pPr>
    </w:p>
    <w:p w:rsidR="00CF7D66" w:rsidRDefault="00CF7D66" w:rsidP="0092293E">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התובע דנן אמנם נטול הכשרה או השכלה פורמלית, ואולם למרות זאת הצליח למצוא לעצמו עבודות מכניסות, בהן התמיד תקופות ארוכות – למעט העבודה האחרונה בתחום ה</w:t>
      </w:r>
      <w:r w:rsidR="0092293E">
        <w:rPr>
          <w:rFonts w:ascii="David" w:hAnsi="David" w:cs="David" w:hint="cs"/>
          <w:sz w:val="24"/>
          <w:szCs w:val="24"/>
        </w:rPr>
        <w:t>XXX</w:t>
      </w:r>
      <w:r>
        <w:rPr>
          <w:rFonts w:ascii="David" w:hAnsi="David" w:cs="David"/>
          <w:sz w:val="24"/>
          <w:szCs w:val="24"/>
          <w:rtl/>
        </w:rPr>
        <w:t xml:space="preserve"> שלא צירף לגביה שום אסמכתה בכתב ולא הוכיח דבר בעניינה – באופן שכמובן פועל לחובתו (ר' </w:t>
      </w:r>
      <w:r>
        <w:rPr>
          <w:rFonts w:ascii="David" w:hAnsi="David" w:cs="David"/>
          <w:color w:val="000000"/>
          <w:sz w:val="24"/>
          <w:szCs w:val="24"/>
          <w:rtl/>
        </w:rPr>
        <w:t xml:space="preserve">ע"א 465/88 </w:t>
      </w:r>
      <w:r>
        <w:rPr>
          <w:rFonts w:ascii="David" w:hAnsi="David" w:cs="David"/>
          <w:b/>
          <w:bCs/>
          <w:color w:val="000000"/>
          <w:sz w:val="24"/>
          <w:szCs w:val="24"/>
          <w:rtl/>
        </w:rPr>
        <w:t>הבנק למימון ולסחר בע"מ נ' מתתיהו</w:t>
      </w:r>
      <w:r>
        <w:rPr>
          <w:rFonts w:ascii="David" w:hAnsi="David" w:cs="David"/>
          <w:color w:val="000000"/>
          <w:sz w:val="24"/>
          <w:szCs w:val="24"/>
          <w:rtl/>
        </w:rPr>
        <w:t xml:space="preserve">, פ"ד מה(4) 651 </w:t>
      </w:r>
      <w:r>
        <w:rPr>
          <w:rFonts w:ascii="David" w:hAnsi="David" w:cs="David"/>
          <w:color w:val="000000"/>
          <w:sz w:val="24"/>
          <w:szCs w:val="24"/>
        </w:rPr>
        <w:t>((1991)</w:t>
      </w:r>
      <w:r>
        <w:rPr>
          <w:rFonts w:ascii="David" w:hAnsi="David" w:cs="David"/>
          <w:sz w:val="24"/>
          <w:szCs w:val="24"/>
          <w:rtl/>
        </w:rPr>
        <w:t>.</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עוד פירטתי לעיל כיצד התובע ובת זוגו האדירו והעצימו את ההשלכה התפקודית של התאונות על התובע (לרבות ניסיונותיו של התובע להציג מצגי שווא בפני שני המומחים מטעם ביהמ"ש בתיק זה), וציינתי כי לא שוכנעתי בקשר כלשהו בין סיום העסקתו של התובע בכל אחד ממקומות העבודה לבין מי מהתאונות מושא דיוננו.</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לתובע נכות תפקודית בשיעור 6.2% כתוצאה מהתאונה הראשונה, ונכות תפקודית בשיעור זהה כתוצאה מהתאונה השנייה, כאשר ברקע נכות קודמת בכתף ימין ובעמ"ש הצווארי. מקובלת עליי טענת ב"כ התובע בסיכומיו כי מדובר בנכויות אורתופדיות אשר מידת השפעתן על כושר השתכרותו העתידי של אדם נטול הכשרה או השכלה דוגמת התובע – עשויה להיות משמעותית.</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מאידך, מקובלת עליי גם טענת ב"כ הנתבעת 2 כי כתוצאה מהתאונות מושא דיוננו נגרמה לתובע נכות מזערית בכתף, והנכות בעמ"ש בגין כל אחת מהתאונות בשיעור 5% אף היא מזערית, כך שמדובר בשיעורי נכויות שמידת השפעתן על תפקודו של אדם אינה גבוהה, אם בכלל, ומקובל לפסוק במקרים מעין אלו פיצויים בסכום גלובלי (השוו למשל לת"א 1161/85 </w:t>
      </w:r>
      <w:r>
        <w:rPr>
          <w:rFonts w:ascii="David" w:hAnsi="David" w:cs="David"/>
          <w:b/>
          <w:bCs/>
          <w:sz w:val="24"/>
          <w:szCs w:val="24"/>
          <w:rtl/>
        </w:rPr>
        <w:t xml:space="preserve">צור נ' "קרנית" קרן לפיצויי נפגעי תאונות דרכים </w:t>
      </w:r>
      <w:r>
        <w:rPr>
          <w:rFonts w:ascii="David" w:hAnsi="David" w:cs="David"/>
          <w:sz w:val="24"/>
          <w:szCs w:val="24"/>
          <w:rtl/>
        </w:rPr>
        <w:t xml:space="preserve">(18.10.1987); לרע"א 7798/18 </w:t>
      </w:r>
      <w:r>
        <w:rPr>
          <w:rFonts w:ascii="David" w:hAnsi="David" w:cs="David"/>
          <w:b/>
          <w:bCs/>
          <w:sz w:val="24"/>
          <w:szCs w:val="24"/>
          <w:rtl/>
        </w:rPr>
        <w:t xml:space="preserve">פלונית נ' שושנה </w:t>
      </w:r>
      <w:r>
        <w:rPr>
          <w:rFonts w:ascii="David" w:hAnsi="David" w:cs="David"/>
          <w:sz w:val="24"/>
          <w:szCs w:val="24"/>
          <w:rtl/>
        </w:rPr>
        <w:t xml:space="preserve">(22.11.2018) שאימץ קביעה זו אף ביחס לקטינים שהפגיעה בהם נבחנת תמיד בקפדנות ובזהירות יתרה; לרע"א 3362/21 </w:t>
      </w:r>
      <w:r>
        <w:rPr>
          <w:rFonts w:ascii="David" w:hAnsi="David" w:cs="David"/>
          <w:b/>
          <w:bCs/>
          <w:sz w:val="24"/>
          <w:szCs w:val="24"/>
          <w:rtl/>
        </w:rPr>
        <w:t xml:space="preserve">פלוני נ' מנורה מבטחים לביטוח בע"מ </w:t>
      </w:r>
      <w:r>
        <w:rPr>
          <w:rFonts w:ascii="David" w:hAnsi="David" w:cs="David"/>
          <w:sz w:val="24"/>
          <w:szCs w:val="24"/>
          <w:rtl/>
        </w:rPr>
        <w:t xml:space="preserve">(23.05.2021) וכיו"ב).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בענייננו, מדו"ח רציפות הביטוח עולה כי שכרו החודשי הממוצע הגבוה ביותר של התובע היה בשנת 2019 ועמד על 13,028 ₪ ברוטו. בערכי נטו מדובר בבסיס שכר של 11,807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lastRenderedPageBreak/>
        <w:t>חישוב אקטוארי מלא של הפסדי ההשתכרות של התובע על בסיס נכות תפקודית בשיעור 6.2% עד גיל 67 עומד על 159,125 ₪. בתוספת הפסדי פנסיה בשיעור 12.5% עומד הסכום הכולל על 179,016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יש לזכור כי התובע דנן אינו קטין, הוא כבר חצה את גיל 40 ומצוי קרוב לפסגת הקריירה המקצועית שלו. עברו התעסוקתי מלמד כי הצליח לעבוד ולהתמיד בעבודות שונות – לרבות עבודות בעלות היבט פיסי מסוים, גם אם מינורי, לתקופות ממושכות, ותוך השבחת שכרו.</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מנגד, בהיעדר השכלה פורמלית, משנכון לרגע זה התובע אינו עובד (גם אם לא הוכח כל קשר בין הפסקת העבודה הנטענת לבין התאונות מושא דיוננו), הגם שלא הוכחה ירידה בשכר או בכושר ההשתכרות שניתן לקשר סיבתית למי מהתאונות, ועל יסוד ההנחה שלא לעולם חוסן, אני מוצאת לנכון לפסוק לתובע בגין כל אחת מהתאונות פיצוי גלובלי של 90,000 ₪ (המהווים כ – 50% מחישוב אקטוארי מלא).</w:t>
      </w:r>
    </w:p>
    <w:p w:rsidR="00CF7D66" w:rsidRDefault="00CF7D66" w:rsidP="00CF7D66">
      <w:pPr>
        <w:pStyle w:val="a3"/>
        <w:rPr>
          <w:rFonts w:ascii="David" w:hAnsi="David" w:cs="David"/>
          <w:sz w:val="24"/>
          <w:szCs w:val="24"/>
        </w:rPr>
      </w:pPr>
    </w:p>
    <w:p w:rsidR="00CF7D66" w:rsidRDefault="00CF7D66" w:rsidP="00CF7D66">
      <w:pPr>
        <w:tabs>
          <w:tab w:val="left" w:pos="368"/>
        </w:tabs>
        <w:spacing w:line="360" w:lineRule="auto"/>
        <w:jc w:val="both"/>
        <w:rPr>
          <w:rFonts w:ascii="David" w:hAnsi="David"/>
          <w:b/>
          <w:bCs/>
          <w:u w:val="single"/>
        </w:rPr>
      </w:pPr>
      <w:r>
        <w:rPr>
          <w:rFonts w:ascii="David" w:hAnsi="David"/>
          <w:b/>
          <w:bCs/>
          <w:u w:val="single"/>
          <w:rtl/>
        </w:rPr>
        <w:t xml:space="preserve">עזרת צד ג', הוצאות רפואיות ונסיעות לעבר ולעתיד </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בכתב התביעה טען התובע, כי בשל התאונות נזקק ויזדקק לעזרה החורגת מעזרת בני משפחה בעתות מחלה וכי אין הטבה במצבו הרפואי והתפקודי באופק אלא החמרה המתדרדרת מיום ליום. בנוסף, לטענתו הוא נאלץ להוציא הוצאות רבות בגין נסיעות, תרופות וטיפולים רפואיים אשר אינן מכוסות ע"י קופת החולים בה הוא חבר. </w:t>
      </w:r>
    </w:p>
    <w:p w:rsidR="00CF7D66" w:rsidRDefault="00CF7D66" w:rsidP="00CF7D66">
      <w:pPr>
        <w:pStyle w:val="a3"/>
        <w:tabs>
          <w:tab w:val="left" w:pos="368"/>
        </w:tabs>
        <w:spacing w:line="360" w:lineRule="auto"/>
        <w:ind w:left="368"/>
        <w:jc w:val="both"/>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בתצהירו טען התובע כי מאז התאונות קשה לו לישון שינה רצופה בשל הכאבים, הוא מטופל בטיפולי פיזיותרפיה ושאר טיפולי רפואה אלטרנטיבית וטיפולים תרופתיים, הוא נאלץ לבצע בדיקות רבות ולשם כך הוא נעזר באשתו להסעות שכן קשה לו לנהוג מעבר לחצי שעה (ס' 11-10 לתצהירו). הוא הוסיף וטען כי נגרמו ויגרמו לו הוצאות רפואיות רבות כאשר לצערו את רוב הקבלות לא שמר, ובעתיד יזקק לעזרה רבה יותר, בפרט כאשר קשה לו בנסיעות ורוב הזמן אינו נוהג וודאי שאינו הולך ממקום למקום (ס' 15 לתצהירו).</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גם אשתו של התובע ציינה בתצהירה כי התובע אינו מסוגל לעזור בבית גם לא במטלות הפשוטות, וכי בשל פגיעותיו היא זו שמסיעה אותו לבדיקות ולטיפולים כי הוא מתקשה לנהוג נסיעות ארוכות, והם הוציאו הוצאות רבות על טיפולים ונסיעות לטיפולים (ס' 6-5 לתצהירה).</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בסיכומיו העמיד את הפיצוי בגין עזרת צ"ג, הוצאות רפואיות ונסיעות על סך של 40,000 ₪ כאשר חילק את הסכום לפיצוי בין הנתבעות באופן שבו על הנתבעת 1 לשאת בשיעור של 37% מהסכום קרי, 14,800 ₪ ועל הנתבעת 2 לשאת בשיעור של 63% מהסכום קרי, 25,200 ₪.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lastRenderedPageBreak/>
        <w:t xml:space="preserve">מנגד, הנתבעת 1 טענה בתחשיבה כי אין בנכותו של התובע כדי להצריך הזדקקות לעזרת צד ג' וכי לא עלה בידי התובע להוכיח רכיב נזק זה כנדרש על פי הפסיקה.  ביחס להוצאות הרפואיות, טענה הנתבעת 1 בתחשיבה כי לא הוכחה הזדקקות התובע לטיפול רפואי שאינו נכלל בסל הבריאות ומכל מקום התאונה הראשונה הוכרה במל"ל כתאונת עבודה, ולפיכך כל הוצאות התובע מכוסות על ידי המל"ל ומטעמים אלו אין מקום לפסוק פיצוי בגין רכיב נזק זה.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נתבעת 2 טענה בתחשיב הנזק מטעמה כי הפגיעה ממנה סבל התובע עקב התאונה השנייה אינה מצריכה עזרה צד ג' וככל שאכן התובע נזקק לעזרה, אין מדובר בעזרה חריגה והיא אינה בת פיצוי. כמו כן, בהתאם לפסיקה הרווחת בעניין זה, לא הובאו ראיות מטעם התובע המעידות על הוצאות כלשהן ולפיכך, אין לפסוק לתובע פיצוי בגין רכיב נזק זה. בסיכומיה, חזרה הנתבעת 2 על טענותיה והוסיפה כי משעה שמדובר בתאונת עבודה, התובע זכאי להחזר כל הוצאותיו הקשורות בתאונה מהמל"ל.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כידוע, הפיצוי בגין העזרה של צד שלישי נועד לשפות את הנפגע עבור עזרה הנחוצה לו לטיפול בעצמו, בגלל מומו ולשם ביצוע פעולותיו השגרתיות והיומיומיות. בפסיקה נקבע שכאשר בני משפחה מעניקים שירותים לנפגע ומשקיעים בכך "מאמץ יוצא דופן וחריג" מעבר למקובל בין בני משפחה, עומדת לניזוק זכות לתבוע פיצוי עבור שווי הטיפול גם אם הוא לא שילם עבורו (ר' למשל</w:t>
      </w:r>
      <w:r>
        <w:rPr>
          <w:rFonts w:ascii="David" w:hAnsi="David" w:cs="David"/>
          <w:color w:val="000000"/>
          <w:sz w:val="24"/>
          <w:szCs w:val="24"/>
          <w:rtl/>
        </w:rPr>
        <w:t xml:space="preserve"> רע"א 7361/14 </w:t>
      </w:r>
      <w:r>
        <w:rPr>
          <w:rFonts w:ascii="David" w:hAnsi="David" w:cs="David"/>
          <w:b/>
          <w:bCs/>
          <w:color w:val="000000"/>
          <w:sz w:val="24"/>
          <w:szCs w:val="24"/>
          <w:rtl/>
        </w:rPr>
        <w:t>פלונית נ' פלוני</w:t>
      </w:r>
      <w:r>
        <w:rPr>
          <w:rFonts w:ascii="David" w:hAnsi="David" w:cs="David"/>
          <w:color w:val="000000"/>
          <w:sz w:val="24"/>
          <w:szCs w:val="24"/>
          <w:rtl/>
        </w:rPr>
        <w:t xml:space="preserve"> (06.01.2015)). </w:t>
      </w:r>
      <w:r>
        <w:rPr>
          <w:rFonts w:ascii="David" w:hAnsi="David" w:cs="David"/>
          <w:sz w:val="24"/>
          <w:szCs w:val="24"/>
          <w:rtl/>
        </w:rPr>
        <w:t xml:space="preserve">לעניין גובהו של הפיצוי, נקבע שראוי להעמידו על סכום נאות ובהעדר נתונים אובייקטיבים, יפסק סכום גלובלי לטובת התובע (ר' למשל </w:t>
      </w:r>
      <w:r>
        <w:rPr>
          <w:rFonts w:ascii="David" w:hAnsi="David" w:cs="David"/>
          <w:color w:val="000000"/>
          <w:sz w:val="24"/>
          <w:szCs w:val="24"/>
          <w:rtl/>
        </w:rPr>
        <w:t xml:space="preserve">ת"א 31066-11-16 </w:t>
      </w:r>
      <w:r>
        <w:rPr>
          <w:rFonts w:ascii="David" w:hAnsi="David" w:cs="David"/>
          <w:b/>
          <w:bCs/>
          <w:color w:val="000000"/>
          <w:sz w:val="24"/>
          <w:szCs w:val="24"/>
          <w:rtl/>
        </w:rPr>
        <w:t>פלונית נ' פ.ת</w:t>
      </w:r>
      <w:r>
        <w:rPr>
          <w:rFonts w:ascii="David" w:hAnsi="David" w:cs="David"/>
          <w:color w:val="000000"/>
          <w:sz w:val="24"/>
          <w:szCs w:val="24"/>
          <w:rtl/>
        </w:rPr>
        <w:t xml:space="preserve"> (12.08.2021)</w:t>
      </w:r>
      <w:r>
        <w:rPr>
          <w:rFonts w:ascii="David" w:hAnsi="David" w:cs="David"/>
          <w:sz w:val="24"/>
          <w:szCs w:val="24"/>
          <w:rtl/>
        </w:rPr>
        <w:t>). על בסיס הלכה זו, ובהעדר נתונים על הוצאה ממשית ועל היקפה, יש לקבוע את הפיצוי בראש נזק זה, על דרך האומדנה.</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בענייננו, לא שוכנעתי כי התובע נזקק בעבר, זקוק כיום או אף יזדקק בעתיד לעזרת צ"ג החורגת מעזרה רגילה בין בני משפחה.</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כאשר בת זוגו של התובע התבקשה להסביר במה היא עוזרת לתובע השיבה כי: "</w:t>
      </w:r>
      <w:r>
        <w:rPr>
          <w:rFonts w:ascii="David" w:hAnsi="David" w:cs="David"/>
          <w:sz w:val="24"/>
          <w:szCs w:val="24"/>
        </w:rPr>
        <w:t xml:space="preserve"> </w:t>
      </w:r>
      <w:r>
        <w:rPr>
          <w:rFonts w:ascii="David" w:hAnsi="David" w:cs="David"/>
          <w:sz w:val="24"/>
          <w:szCs w:val="24"/>
          <w:rtl/>
        </w:rPr>
        <w:t xml:space="preserve">אני פחות עוזרת לו זה יותר פחות עוזרים לי אין לי עזרה וסיוע מהגבר שלי מהבעל שלי בבית ברמות ששתי הבנות נולדו אני לא נתתי לו להרים אותם הוא פחד להרים אותם דברים נופלים לו מהידיים כנראה שזה גם מה שהולך להיות עכשיו אין לי סיוע הכל עליי." והודתה כי למעט ההסעות אינה מסייעת לו כי "הוא לא יבקש את העזרה שלי הוא בן אדם כזה." (עמ' 13 שורות 20-17; 28 לפרוטוקול).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כאשר התבקשה בת הזוג לפרט לאיזו עזרת אנשי מקצוע יזדקק התובע, ציינה: "אז אני אגיד לך אולי הוא התכוון לזה שאמא שלי ואבא שלי וההורים שלו הרבה פעמים צריכים לבוא לעזור הם כבר בגיל מבוגר אז את יודעת זה יכול להיות גם אנשי מקצוע עוד פעם התחתנתי עם גבר חזק למנורה שנשרפת הוא לא יכול להרים את היד בשביל להבריג דברים כאלה זה בסופו של דבר." (עמ' 15 שורות 11-8 לפרוטוקול).</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lastRenderedPageBreak/>
        <w:t>כאמור, לא הוצגה כל אסמכתה לעזרה כזו שנדרשה בפועל, ומששוכנעתי כי התובע האדיר והעצים את ההשלכה של התאונות על תפקודו – לא שוכנעתי כי הוא זקוק או יזדקק לעזרה חריגה בעניין זה גם בעתיד.</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בנוסף, הגם ששוכנעתי כי בת זוגו של התובע הסיעה אותו מדי פעם לטיפולים, לא שוכנעתי כי דובר בהיקף נרחב של טיפולים וגם לא שוכנעתי כי הדבר רלוונטי לתקופה האחרונה אלא בעיקר לתקופות הסמוכות לאחר התאונות.</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עוד אזכיר, כפי שפורט בהרחבה בפרק שדן בפגיעה התפקודית לעיל, כי התובע עצמו הודה כי העזרה והסיוע בבית אפשריים מבחינתו, וכשאין ברירה – הוא יכול גם יכול לבצע מטלות אלו (עמ' 61 שורות 22-19 לפרוטוקול).</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אשר על כן, בשים לב לשיעור נכותו התפקודית של התובע כתוצאה מכל אחת מהתאונות, משקבע לו המומחה אבדן כושר עבודה זמני לתקופה של 4-6 שבועות בקשר עם כל אחת מהתאונות, ומשיש להניח שלמצער בתקופה הסמוכה לאחר כל אחת מהתאונות נזקק לעזרה מוגברת כלשהי – אני מוצאת לנכון לפסוק לתובע פיצוי גלובלי בסך 5,000 ₪ בגין עזרת צ"ג לכל אחת מהתאונות, לעבר ולעתיד גם יחד.</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אשר להוצאות, על אף שהתובע ציין לראשונה בעדותו כי כשאשתו לא הסיעה אותו לטיפולים הוא נסע במוניות (עמ' 26 שורות 35-32; עמ' 27 שורות 12-1 לפרוטוקול), והגם שלא צירף התובע כל אסמכתה להוכיח תשלום ששילם בקשר עם בדיקות או טיפולים בעקבות התאונות, קשה להתעלם מכך שהתובע קיבל מספר לא מבוטל של טיפולים – למצער טיפולי פיזיותרפיה ( ר' עמ' 21 לכתב התביעה). מטבע הדברים שהדבר היה כרוך בנסיעות, וגם יש להניח שמעת לעת הוא נזקק לתרופות ללא מרשם לצורך שיכוך כאבים.</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אשר על כן, </w:t>
      </w:r>
      <w:r>
        <w:rPr>
          <w:rFonts w:ascii="David" w:hAnsi="David" w:cs="David"/>
          <w:color w:val="000000"/>
          <w:sz w:val="24"/>
          <w:szCs w:val="24"/>
          <w:shd w:val="clear" w:color="auto" w:fill="FFFFFF"/>
          <w:rtl/>
        </w:rPr>
        <w:t xml:space="preserve">בהינתן הבדיקות והטיפולים המשלימים שעבר התובע בעבר וההנחה שגם בעתיד הוא עלול להזדקק לטיפולים כאמור ולהוציא הוצאות נסיעה לצורך ההגעה אל הבדיקות והטיפולים, אך גם בהתחשב בכך שמדובר בתאונות עבודה, אני מוצאת לנכון לפסוק לתובע פיצוי גלובלי בגין ראש נזק של הוצאות רפואיות ונסיעות בסך 6,500 ₪ בגין כל אחת מהתאונות לעבר ולעתיד גם יחד. </w:t>
      </w:r>
    </w:p>
    <w:p w:rsidR="00CF7D66" w:rsidRDefault="00CF7D66" w:rsidP="00CF7D66">
      <w:pPr>
        <w:tabs>
          <w:tab w:val="left" w:pos="368"/>
        </w:tabs>
        <w:spacing w:line="360" w:lineRule="auto"/>
        <w:ind w:left="-57"/>
        <w:jc w:val="both"/>
        <w:rPr>
          <w:rFonts w:ascii="David" w:hAnsi="David"/>
          <w:b/>
          <w:bCs/>
          <w:u w:val="single"/>
        </w:rPr>
      </w:pPr>
      <w:r>
        <w:rPr>
          <w:rFonts w:ascii="David" w:hAnsi="David"/>
          <w:b/>
          <w:bCs/>
          <w:u w:val="single"/>
          <w:rtl/>
        </w:rPr>
        <w:t>נזק לא ממוני</w:t>
      </w:r>
    </w:p>
    <w:p w:rsidR="00CF7D66" w:rsidRDefault="00CF7D66" w:rsidP="00CF7D66">
      <w:pPr>
        <w:pStyle w:val="a3"/>
        <w:tabs>
          <w:tab w:val="left" w:pos="368"/>
        </w:tabs>
        <w:spacing w:line="360" w:lineRule="auto"/>
        <w:ind w:left="368"/>
        <w:jc w:val="both"/>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בתחשיבו העמיד התובע את נזקו הלא ממוני בקשר עם התאונה הראשונה על סך 18,714 ₪ ובסיכומיו על סך 20,605 ₪ בחישוב על בסיס נכות בשיעור של 10%. בקשר עם התאונה השנייה העמיד התובע את נזקו הלא ממוני בתחשיבו על סך של 18,605 ₪ ובסיכומיו על סך של 20,485 ₪ בחישוב על בסיס נכות בשיעור של 11%. </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lastRenderedPageBreak/>
        <w:t>מנגד, הנתבעת 1 טענה בתחשיבה, כי בנסיבות דנן יש להעמיד הפיצוי בגין רכיב נזק זה על סך של 11,822 ₪ בלבד בחישוב על בסיס נכות של 6.25%, שכן פגיעתו של התובע היא קלה ובגינה ניתנו ימי מחלה לתקופה של כשבועיים בלבד.</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הנתבעת 2 טענה מצדה הן בתחשיב הנזק מטעמה והן בסיכומיה, כי בנסיבות דנן צריך היה להעמיד הפיצוי בגין רכיב נזק זה על סך של 10,590 ₪ בלבד, ואולם לאור תניית השתתפות עצמית המעוגנת בפוליסת הביטוח בסך של עד 25,000 ₪, אין לפסוק לתובע כל פיצוי בגין רכיב נזק זה בנסיבות תיק זה.  </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בנסיבות שפורטו, בשים לב לנכותו הרפואית בשיעור 6.2% כתוצאה מהתאונה הראשונה, ומשלא מצאתי כי זו הייתה כרוכה באשפוז או שבר או קושי חריג אחר כלשהו, אני מוצאת לנכון להעמיד את הפיצוי לתובע על סך של 13,097 ₪, בהתאם לנכות הרפואית שנקבעה.</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אשר לתאונה השנייה – בשים לב לנכות רפואית בשיעור 11% זכאי היה התובע לפיצוי בסך 21,237 ₪, ואולם מאחר שעל פי תנאי הפוליסה שלו אצל הנתבעת 2 קיימת השתתפות עצמית בסך 25,000 ₪ בגין נזק לא ממוני (נספח א' למוצגי נתבעת 2) – הפיצוי לו הוא זכאי נבלע בהשתתפות עצמית זו. </w:t>
      </w:r>
    </w:p>
    <w:p w:rsidR="00CF7D66" w:rsidRDefault="00CF7D66" w:rsidP="00CF7D66">
      <w:pPr>
        <w:tabs>
          <w:tab w:val="left" w:pos="368"/>
        </w:tabs>
        <w:spacing w:line="360" w:lineRule="auto"/>
        <w:ind w:left="-57"/>
        <w:jc w:val="both"/>
        <w:rPr>
          <w:rFonts w:ascii="David" w:hAnsi="David"/>
          <w:b/>
          <w:bCs/>
          <w:u w:val="single"/>
        </w:rPr>
      </w:pPr>
      <w:r>
        <w:rPr>
          <w:rFonts w:ascii="David" w:hAnsi="David"/>
          <w:b/>
          <w:bCs/>
          <w:u w:val="single"/>
          <w:rtl/>
        </w:rPr>
        <w:t>ניכויים</w:t>
      </w:r>
    </w:p>
    <w:p w:rsidR="00CF7D66" w:rsidRDefault="00CF7D66" w:rsidP="00CF7D66">
      <w:pPr>
        <w:pStyle w:val="a3"/>
        <w:tabs>
          <w:tab w:val="left" w:pos="368"/>
        </w:tabs>
        <w:spacing w:line="360" w:lineRule="auto"/>
        <w:ind w:left="368"/>
        <w:jc w:val="both"/>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בעניין זה, טענה הנתבעת 1 בתחשיבה כי התאונה הראשונה הוכרה במל"ל כתאונת עבודה והתובע פוצה בגינה בדמי פגיעה בסך של 2,633 ₪ אותם יש לנכות מסכום הפיצוי שייפסק לתובע (ר' נספח 1 למוצגי נתבעת 1).</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בנוסף, נתבעת 2 טענה בתחשיבה ובסיכומים מטעמה כי גם התאונה השנייה היא תאונה שהוכרה במל"ל כתאונת עבודה בגינה פוצה התובע בדמי פגיעה בסך של 6,113 ₪, אותם יש לנכות מסכום הפיצוי שייפסק לתובע (ר' נספח ד' למוצגי הנתבעת 2).  </w:t>
      </w:r>
    </w:p>
    <w:p w:rsidR="00CF7D66" w:rsidRDefault="00CF7D66" w:rsidP="00CF7D66">
      <w:pPr>
        <w:pStyle w:val="a3"/>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 xml:space="preserve">מאחר שאין חולק על כך שהתובע קיבל דמי פגיעה בגין כל אחת מהתאונות, ומאחר שהפסדי ההשתכרות לעבר להם זכאי התובע נמוכים מדמי הפגיעה שקיבל, לא אפסוק לו פיצוי בגין הפסדי ההשתכרות לעבר ומנגד גם לא אנכה את דמי הפגיעה ששולמו לו. </w:t>
      </w:r>
    </w:p>
    <w:p w:rsidR="00CF7D66" w:rsidRDefault="00CF7D66" w:rsidP="00CF7D66">
      <w:pPr>
        <w:tabs>
          <w:tab w:val="left" w:pos="368"/>
        </w:tabs>
        <w:spacing w:line="360" w:lineRule="auto"/>
        <w:ind w:left="-57"/>
        <w:jc w:val="both"/>
        <w:rPr>
          <w:rFonts w:ascii="David" w:hAnsi="David"/>
          <w:b/>
          <w:bCs/>
          <w:u w:val="single"/>
        </w:rPr>
      </w:pPr>
      <w:r>
        <w:rPr>
          <w:rFonts w:ascii="David" w:hAnsi="David"/>
          <w:b/>
          <w:bCs/>
          <w:u w:val="single"/>
          <w:rtl/>
        </w:rPr>
        <w:t>סיכום</w:t>
      </w:r>
    </w:p>
    <w:p w:rsidR="00CF7D66" w:rsidRDefault="00CF7D66" w:rsidP="00CF7D66">
      <w:pPr>
        <w:pStyle w:val="a3"/>
        <w:tabs>
          <w:tab w:val="left" w:pos="368"/>
        </w:tabs>
        <w:spacing w:line="360" w:lineRule="auto"/>
        <w:ind w:left="368"/>
        <w:jc w:val="both"/>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לאור כל האמור לעיל הנתבעת 1 תשלם לתובע:</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tabs>
          <w:tab w:val="left" w:pos="368"/>
        </w:tabs>
        <w:spacing w:line="360" w:lineRule="auto"/>
        <w:ind w:left="368"/>
        <w:jc w:val="both"/>
        <w:rPr>
          <w:rFonts w:ascii="David" w:hAnsi="David" w:cs="David"/>
          <w:sz w:val="24"/>
          <w:szCs w:val="24"/>
        </w:rPr>
      </w:pPr>
      <w:r>
        <w:rPr>
          <w:rFonts w:ascii="David" w:hAnsi="David" w:cs="David"/>
          <w:sz w:val="24"/>
          <w:szCs w:val="24"/>
          <w:rtl/>
        </w:rPr>
        <w:t xml:space="preserve">א. הפסדי השתכרות לעתיד – 90,000 ₪ </w:t>
      </w:r>
    </w:p>
    <w:p w:rsidR="00CF7D66" w:rsidRDefault="00CF7D66" w:rsidP="00CF7D66">
      <w:pPr>
        <w:pStyle w:val="a3"/>
        <w:tabs>
          <w:tab w:val="left" w:pos="368"/>
        </w:tabs>
        <w:spacing w:line="360" w:lineRule="auto"/>
        <w:ind w:left="368"/>
        <w:jc w:val="both"/>
        <w:rPr>
          <w:rFonts w:ascii="David" w:hAnsi="David" w:cs="David"/>
          <w:sz w:val="24"/>
          <w:szCs w:val="24"/>
        </w:rPr>
      </w:pPr>
      <w:r>
        <w:rPr>
          <w:rFonts w:ascii="David" w:hAnsi="David" w:cs="David"/>
          <w:sz w:val="24"/>
          <w:szCs w:val="24"/>
          <w:rtl/>
        </w:rPr>
        <w:t xml:space="preserve">ב. עזרת צ"ג לעבר ולעתיד – 5,000 ₪ </w:t>
      </w:r>
    </w:p>
    <w:p w:rsidR="00CF7D66" w:rsidRDefault="00CF7D66" w:rsidP="00CF7D66">
      <w:pPr>
        <w:pStyle w:val="a3"/>
        <w:tabs>
          <w:tab w:val="left" w:pos="368"/>
        </w:tabs>
        <w:spacing w:line="360" w:lineRule="auto"/>
        <w:ind w:left="368"/>
        <w:jc w:val="both"/>
        <w:rPr>
          <w:rFonts w:ascii="David" w:hAnsi="David" w:cs="David"/>
          <w:sz w:val="24"/>
          <w:szCs w:val="24"/>
        </w:rPr>
      </w:pPr>
      <w:r>
        <w:rPr>
          <w:rFonts w:ascii="David" w:hAnsi="David" w:cs="David"/>
          <w:sz w:val="24"/>
          <w:szCs w:val="24"/>
          <w:rtl/>
        </w:rPr>
        <w:t xml:space="preserve">ג. הוצאות רפואיות ונסיעות לעבר ולעתיד – 6,500 ₪ </w:t>
      </w:r>
    </w:p>
    <w:p w:rsidR="00CF7D66" w:rsidRDefault="00CF7D66" w:rsidP="00CF7D66">
      <w:pPr>
        <w:pStyle w:val="a3"/>
        <w:tabs>
          <w:tab w:val="left" w:pos="368"/>
        </w:tabs>
        <w:spacing w:line="360" w:lineRule="auto"/>
        <w:ind w:left="368"/>
        <w:jc w:val="both"/>
        <w:rPr>
          <w:rFonts w:ascii="David" w:hAnsi="David" w:cs="David"/>
          <w:sz w:val="24"/>
          <w:szCs w:val="24"/>
          <w:rtl/>
        </w:rPr>
      </w:pPr>
      <w:r>
        <w:rPr>
          <w:rFonts w:ascii="David" w:hAnsi="David" w:cs="David"/>
          <w:sz w:val="24"/>
          <w:szCs w:val="24"/>
          <w:rtl/>
        </w:rPr>
        <w:lastRenderedPageBreak/>
        <w:t xml:space="preserve">ד. נזק לא ממוני – 13,097 ₪ </w:t>
      </w:r>
    </w:p>
    <w:p w:rsidR="00CF7D66" w:rsidRDefault="00CF7D66" w:rsidP="00CF7D66">
      <w:pPr>
        <w:pStyle w:val="a3"/>
        <w:tabs>
          <w:tab w:val="left" w:pos="368"/>
        </w:tabs>
        <w:spacing w:line="360" w:lineRule="auto"/>
        <w:ind w:left="368"/>
        <w:jc w:val="both"/>
        <w:rPr>
          <w:rFonts w:ascii="David" w:hAnsi="David" w:cs="David"/>
          <w:b/>
          <w:bCs/>
          <w:sz w:val="24"/>
          <w:szCs w:val="24"/>
        </w:rPr>
      </w:pPr>
      <w:r>
        <w:rPr>
          <w:rFonts w:ascii="David" w:hAnsi="David" w:cs="David"/>
          <w:b/>
          <w:bCs/>
          <w:sz w:val="24"/>
          <w:szCs w:val="24"/>
          <w:rtl/>
        </w:rPr>
        <w:t xml:space="preserve">סה"כ: 114,597 ₪ </w:t>
      </w:r>
    </w:p>
    <w:p w:rsidR="00CF7D66" w:rsidRDefault="00CF7D66" w:rsidP="00CF7D66">
      <w:pPr>
        <w:pStyle w:val="a3"/>
        <w:tabs>
          <w:tab w:val="left" w:pos="368"/>
        </w:tabs>
        <w:spacing w:line="360" w:lineRule="auto"/>
        <w:ind w:left="368"/>
        <w:jc w:val="both"/>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בהתאם, הנתבעת 2 תשלם לתובע:</w:t>
      </w:r>
    </w:p>
    <w:p w:rsidR="00CF7D66" w:rsidRDefault="00CF7D66" w:rsidP="00CF7D66">
      <w:pPr>
        <w:pStyle w:val="a3"/>
        <w:tabs>
          <w:tab w:val="left" w:pos="368"/>
        </w:tabs>
        <w:spacing w:line="360" w:lineRule="auto"/>
        <w:ind w:left="368"/>
        <w:jc w:val="both"/>
        <w:rPr>
          <w:rFonts w:ascii="David" w:hAnsi="David" w:cs="David"/>
          <w:sz w:val="24"/>
          <w:szCs w:val="24"/>
          <w:rtl/>
        </w:rPr>
      </w:pPr>
    </w:p>
    <w:p w:rsidR="00CF7D66" w:rsidRDefault="00CF7D66" w:rsidP="00CF7D66">
      <w:pPr>
        <w:pStyle w:val="a3"/>
        <w:tabs>
          <w:tab w:val="left" w:pos="368"/>
        </w:tabs>
        <w:spacing w:line="360" w:lineRule="auto"/>
        <w:ind w:left="368"/>
        <w:jc w:val="both"/>
        <w:rPr>
          <w:rFonts w:ascii="David" w:hAnsi="David" w:cs="David"/>
          <w:sz w:val="24"/>
          <w:szCs w:val="24"/>
          <w:rtl/>
        </w:rPr>
      </w:pPr>
      <w:r>
        <w:rPr>
          <w:rFonts w:ascii="David" w:hAnsi="David" w:cs="David"/>
          <w:sz w:val="24"/>
          <w:szCs w:val="24"/>
          <w:rtl/>
        </w:rPr>
        <w:t xml:space="preserve">א. הפסדי השתכרות לעתיד – 90,000 ₪ </w:t>
      </w:r>
    </w:p>
    <w:p w:rsidR="00CF7D66" w:rsidRDefault="00CF7D66" w:rsidP="00CF7D66">
      <w:pPr>
        <w:pStyle w:val="a3"/>
        <w:tabs>
          <w:tab w:val="left" w:pos="368"/>
        </w:tabs>
        <w:spacing w:line="360" w:lineRule="auto"/>
        <w:ind w:left="368"/>
        <w:jc w:val="both"/>
        <w:rPr>
          <w:rFonts w:ascii="David" w:hAnsi="David" w:cs="David"/>
          <w:sz w:val="24"/>
          <w:szCs w:val="24"/>
        </w:rPr>
      </w:pPr>
      <w:r>
        <w:rPr>
          <w:rFonts w:ascii="David" w:hAnsi="David" w:cs="David"/>
          <w:sz w:val="24"/>
          <w:szCs w:val="24"/>
          <w:rtl/>
        </w:rPr>
        <w:t xml:space="preserve">ב. עזרת צ"ג לעבר ולעתיד – 5,000 ₪ </w:t>
      </w:r>
    </w:p>
    <w:p w:rsidR="00CF7D66" w:rsidRDefault="00CF7D66" w:rsidP="00CF7D66">
      <w:pPr>
        <w:pStyle w:val="a3"/>
        <w:tabs>
          <w:tab w:val="left" w:pos="368"/>
        </w:tabs>
        <w:spacing w:line="360" w:lineRule="auto"/>
        <w:ind w:left="368"/>
        <w:jc w:val="both"/>
        <w:rPr>
          <w:rFonts w:ascii="David" w:hAnsi="David" w:cs="David"/>
          <w:sz w:val="24"/>
          <w:szCs w:val="24"/>
          <w:rtl/>
        </w:rPr>
      </w:pPr>
      <w:r>
        <w:rPr>
          <w:rFonts w:ascii="David" w:hAnsi="David" w:cs="David"/>
          <w:sz w:val="24"/>
          <w:szCs w:val="24"/>
          <w:rtl/>
        </w:rPr>
        <w:t xml:space="preserve">ג. הוצאות רפואיות ונסיעות לעבר ולעתיד – 6,500 ₪ </w:t>
      </w:r>
    </w:p>
    <w:p w:rsidR="00CF7D66" w:rsidRDefault="00CF7D66" w:rsidP="00CF7D66">
      <w:pPr>
        <w:pStyle w:val="a3"/>
        <w:tabs>
          <w:tab w:val="left" w:pos="368"/>
        </w:tabs>
        <w:spacing w:line="360" w:lineRule="auto"/>
        <w:ind w:left="368"/>
        <w:jc w:val="both"/>
        <w:rPr>
          <w:rFonts w:ascii="David" w:hAnsi="David" w:cs="David"/>
          <w:b/>
          <w:bCs/>
          <w:sz w:val="24"/>
          <w:szCs w:val="24"/>
          <w:rtl/>
        </w:rPr>
      </w:pPr>
      <w:r>
        <w:rPr>
          <w:rFonts w:ascii="David" w:hAnsi="David" w:cs="David"/>
          <w:b/>
          <w:bCs/>
          <w:sz w:val="24"/>
          <w:szCs w:val="24"/>
          <w:rtl/>
        </w:rPr>
        <w:t xml:space="preserve">סה"כ: 101,500 ₪ </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הסכומים הכוללים ישולמו תוך 30 יום שאם לא כן, יישאו הפרשי ריבית והצמדה עד למועד התשלום בפועל. </w:t>
      </w:r>
    </w:p>
    <w:p w:rsidR="00CF7D66" w:rsidRDefault="00CF7D66" w:rsidP="00CF7D66">
      <w:pPr>
        <w:pStyle w:val="a3"/>
        <w:tabs>
          <w:tab w:val="left" w:pos="368"/>
        </w:tabs>
        <w:spacing w:line="360" w:lineRule="auto"/>
        <w:ind w:left="368"/>
        <w:jc w:val="both"/>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Pr>
      </w:pPr>
      <w:r>
        <w:rPr>
          <w:rFonts w:ascii="David" w:hAnsi="David" w:cs="David"/>
          <w:sz w:val="24"/>
          <w:szCs w:val="24"/>
          <w:rtl/>
        </w:rPr>
        <w:t>לסכומים האמורים יתווספו גם החזר אגרה בצירוף ריבית והצמדה ממועד התשלום וכן שכר טרחת עורך דין בשיעור של 15.21% מהסכום שנפסק.</w:t>
      </w:r>
    </w:p>
    <w:p w:rsidR="00CF7D66" w:rsidRDefault="00CF7D66" w:rsidP="00CF7D66">
      <w:pPr>
        <w:pStyle w:val="a3"/>
        <w:rPr>
          <w:rFonts w:ascii="David" w:hAnsi="David" w:cs="David"/>
          <w:sz w:val="24"/>
          <w:szCs w:val="24"/>
          <w:rtl/>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 xml:space="preserve">זכות ערעור לבית המשפט המחוזי בתוך 60 יום. </w:t>
      </w:r>
    </w:p>
    <w:p w:rsidR="00CF7D66" w:rsidRDefault="00CF7D66" w:rsidP="00CF7D66">
      <w:pPr>
        <w:pStyle w:val="a3"/>
        <w:tabs>
          <w:tab w:val="left" w:pos="368"/>
        </w:tabs>
        <w:spacing w:line="360" w:lineRule="auto"/>
        <w:ind w:left="368"/>
        <w:jc w:val="both"/>
        <w:rPr>
          <w:rFonts w:ascii="David" w:hAnsi="David" w:cs="David"/>
          <w:sz w:val="24"/>
          <w:szCs w:val="24"/>
        </w:rPr>
      </w:pPr>
    </w:p>
    <w:p w:rsidR="00CF7D66" w:rsidRDefault="00CF7D66" w:rsidP="00CF7D66">
      <w:pPr>
        <w:pStyle w:val="a3"/>
        <w:numPr>
          <w:ilvl w:val="0"/>
          <w:numId w:val="1"/>
        </w:numPr>
        <w:tabs>
          <w:tab w:val="left" w:pos="368"/>
        </w:tabs>
        <w:spacing w:line="360" w:lineRule="auto"/>
        <w:ind w:left="368" w:hanging="425"/>
        <w:jc w:val="both"/>
        <w:rPr>
          <w:rFonts w:ascii="David" w:hAnsi="David" w:cs="David"/>
          <w:sz w:val="24"/>
          <w:szCs w:val="24"/>
          <w:rtl/>
        </w:rPr>
      </w:pPr>
      <w:r>
        <w:rPr>
          <w:rFonts w:ascii="David" w:hAnsi="David" w:cs="David"/>
          <w:sz w:val="24"/>
          <w:szCs w:val="24"/>
          <w:rtl/>
        </w:rPr>
        <w:t>מאחר שעסקינן בתביעת נזקי גוף, פסק הדין מותר לפרסום ובלבד שלא יצוינו שמו של התובע ופרטיו המזהים.</w:t>
      </w:r>
    </w:p>
    <w:p w:rsidR="00CF7D66" w:rsidRDefault="00CF7D66" w:rsidP="00CF7D66">
      <w:pPr>
        <w:spacing w:line="360" w:lineRule="auto"/>
        <w:jc w:val="both"/>
        <w:rPr>
          <w:rFonts w:ascii="Arial" w:hAnsi="Arial"/>
          <w:noProof w:val="0"/>
        </w:rPr>
      </w:pPr>
    </w:p>
    <w:p w:rsidR="00CF7D66" w:rsidRDefault="00CF7D66" w:rsidP="00CF7D66">
      <w:pPr>
        <w:spacing w:line="360" w:lineRule="auto"/>
        <w:jc w:val="both"/>
        <w:rPr>
          <w:rFonts w:ascii="Arial" w:hAnsi="Arial"/>
          <w:noProof w:val="0"/>
        </w:rPr>
      </w:pPr>
    </w:p>
    <w:p w:rsidR="00CF7D66" w:rsidRDefault="00CF7D66" w:rsidP="00CF7D66">
      <w:pPr>
        <w:spacing w:line="360" w:lineRule="auto"/>
        <w:jc w:val="both"/>
        <w:rPr>
          <w:rFonts w:ascii="Arial" w:hAnsi="Arial"/>
          <w:noProof w:val="0"/>
          <w:rtl/>
        </w:rPr>
      </w:pPr>
    </w:p>
    <w:p w:rsidR="00CF7D66" w:rsidRDefault="00CF7D66" w:rsidP="00CF7D66">
      <w:pPr>
        <w:spacing w:line="360" w:lineRule="auto"/>
        <w:jc w:val="both"/>
        <w:rPr>
          <w:rFonts w:ascii="Arial" w:hAnsi="Arial"/>
          <w:noProof w:val="0"/>
          <w:rtl/>
        </w:rPr>
      </w:pPr>
    </w:p>
    <w:p w:rsidR="00CF7D66" w:rsidRDefault="00CF7D66" w:rsidP="00CF7D66">
      <w:pPr>
        <w:spacing w:line="360" w:lineRule="auto"/>
        <w:jc w:val="both"/>
        <w:rPr>
          <w:rFonts w:ascii="Arial" w:hAnsi="Arial"/>
          <w:noProof w:val="0"/>
          <w:rtl/>
        </w:rPr>
      </w:pPr>
    </w:p>
    <w:p w:rsidR="00CF7D66" w:rsidRDefault="00CF7D66" w:rsidP="00CF7D6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כ"ו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17 מאי 2023</w:t>
          </w:r>
        </w:sdtContent>
      </w:sdt>
      <w:r>
        <w:rPr>
          <w:rFonts w:ascii="Arial" w:hAnsi="Arial"/>
          <w:noProof w:val="0"/>
          <w:rtl/>
        </w:rPr>
        <w:t>, בהעדר הצדדים.</w:t>
      </w:r>
    </w:p>
    <w:p w:rsidR="00CF7D66" w:rsidRDefault="00CF7D66" w:rsidP="00CF7D66">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CF7D66" w:rsidRDefault="006D01FE" w:rsidP="00CF7D66">
      <w:pPr>
        <w:spacing w:line="360" w:lineRule="auto"/>
        <w:ind w:left="3600" w:firstLine="720"/>
        <w:jc w:val="center"/>
        <w:rPr>
          <w:rtl/>
        </w:rPr>
      </w:pPr>
      <w:sdt>
        <w:sdtPr>
          <w:rPr>
            <w:rtl/>
          </w:rPr>
          <w:alias w:val="MergeField"/>
          <w:tag w:val="1237"/>
          <w:id w:val="-663468216"/>
        </w:sdtPr>
        <w:sdtEndPr/>
        <w:sdtContent>
          <w:r w:rsidR="00CF7D66">
            <w:drawing>
              <wp:inline distT="0" distB="0" distL="0" distR="0">
                <wp:extent cx="1552575" cy="847725"/>
                <wp:effectExtent l="0" t="0" r="9525"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52575" cy="847725"/>
                        </a:xfrm>
                        <a:prstGeom prst="rect">
                          <a:avLst/>
                        </a:prstGeom>
                        <a:noFill/>
                        <a:ln>
                          <a:noFill/>
                        </a:ln>
                      </pic:spPr>
                    </pic:pic>
                  </a:graphicData>
                </a:graphic>
              </wp:inline>
            </w:drawing>
          </w:r>
        </w:sdtContent>
      </w:sdt>
    </w:p>
    <w:p w:rsidR="00CF7D66" w:rsidRDefault="00CF7D66" w:rsidP="00CF7D66">
      <w:pPr>
        <w:spacing w:line="360" w:lineRule="auto"/>
        <w:ind w:left="3600" w:firstLine="720"/>
        <w:jc w:val="center"/>
        <w:rPr>
          <w:rFonts w:ascii="Arial" w:hAnsi="Arial"/>
          <w:noProof w:val="0"/>
          <w:rtl/>
        </w:rPr>
      </w:pPr>
    </w:p>
    <w:p w:rsidR="00CF7D66" w:rsidRDefault="00CF7D66" w:rsidP="00CF7D66">
      <w:pPr>
        <w:spacing w:line="360" w:lineRule="auto"/>
        <w:jc w:val="both"/>
        <w:rPr>
          <w:rFonts w:ascii="Arial" w:hAnsi="Arial"/>
          <w:noProof w:val="0"/>
        </w:rPr>
      </w:pPr>
    </w:p>
    <w:p w:rsidR="00CF7D66" w:rsidRDefault="00CF7D66" w:rsidP="00CF7D66">
      <w:pPr>
        <w:spacing w:line="360" w:lineRule="auto"/>
        <w:jc w:val="both"/>
        <w:rPr>
          <w:rFonts w:ascii="Arial" w:hAnsi="Arial"/>
          <w:noProof w:val="0"/>
          <w:rtl/>
        </w:rPr>
      </w:pPr>
    </w:p>
    <w:p w:rsidR="00CF7D66" w:rsidRDefault="00CF7D66" w:rsidP="00CF7D66">
      <w:pPr>
        <w:rPr>
          <w:rtl/>
        </w:rPr>
      </w:pPr>
    </w:p>
    <w:p w:rsidR="00C1193A" w:rsidRDefault="00C1193A"/>
    <w:sectPr w:rsidR="00C1193A" w:rsidSect="0058210A">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1FE" w:rsidRDefault="006D01FE" w:rsidP="00CD7225">
      <w:r>
        <w:separator/>
      </w:r>
    </w:p>
  </w:endnote>
  <w:endnote w:type="continuationSeparator" w:id="0">
    <w:p w:rsidR="006D01FE" w:rsidRDefault="006D01FE" w:rsidP="00CD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2F6" w:rsidRDefault="007F32F6">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2F6" w:rsidRDefault="007F32F6">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2F6" w:rsidRDefault="007F32F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1FE" w:rsidRDefault="006D01FE" w:rsidP="00CD7225">
      <w:r>
        <w:separator/>
      </w:r>
    </w:p>
  </w:footnote>
  <w:footnote w:type="continuationSeparator" w:id="0">
    <w:p w:rsidR="006D01FE" w:rsidRDefault="006D01FE" w:rsidP="00CD7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2F6" w:rsidRDefault="007F32F6">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225" w:rsidRDefault="00CD7225" w:rsidP="00CD7225">
    <w:pPr>
      <w:pStyle w:val="a7"/>
      <w:jc w:val="center"/>
    </w:pPr>
    <w:r>
      <w:rPr>
        <w:rFonts w:cs="FrankRuehl"/>
        <w:sz w:val="28"/>
        <w:szCs w:val="28"/>
      </w:rPr>
      <w:drawing>
        <wp:inline distT="0" distB="0" distL="0" distR="0" wp14:anchorId="60DE5E8C" wp14:editId="4DDDFD05">
          <wp:extent cx="374650" cy="462915"/>
          <wp:effectExtent l="0" t="0" r="6350" b="0"/>
          <wp:docPr id="3" name="תמונה 3"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4650" cy="462915"/>
                  </a:xfrm>
                  <a:prstGeom prst="rect">
                    <a:avLst/>
                  </a:prstGeom>
                  <a:noFill/>
                  <a:ln>
                    <a:noFill/>
                  </a:ln>
                </pic:spPr>
              </pic:pic>
            </a:graphicData>
          </a:graphic>
        </wp:inline>
      </w:drawing>
    </w:r>
  </w:p>
  <w:sdt>
    <w:sdtPr>
      <w:rPr>
        <w:sz w:val="32"/>
        <w:szCs w:val="32"/>
        <w:rtl/>
      </w:rPr>
      <w:alias w:val="1174"/>
      <w:tag w:val="1174"/>
      <w:id w:val="585344048"/>
      <w:text/>
    </w:sdtPr>
    <w:sdtEndPr/>
    <w:sdtContent>
      <w:p w:rsidR="00CD7225" w:rsidRDefault="00CD7225" w:rsidP="00CD7225">
        <w:pPr>
          <w:pStyle w:val="a7"/>
          <w:jc w:val="center"/>
          <w:rPr>
            <w:rtl/>
          </w:rPr>
        </w:pPr>
        <w:r>
          <w:rPr>
            <w:rFonts w:ascii="Tahoma" w:hAnsi="Tahoma"/>
            <w:b/>
            <w:bCs/>
            <w:noProof w:val="0"/>
            <w:color w:val="000080"/>
            <w:sz w:val="32"/>
            <w:szCs w:val="32"/>
            <w:rtl/>
          </w:rPr>
          <w:t>בית משפט השלום בתל אביב - יפו</w:t>
        </w:r>
      </w:p>
    </w:sdtContent>
  </w:sdt>
  <w:p w:rsidR="00CD7225" w:rsidRDefault="00CD7225" w:rsidP="00CD7225">
    <w:pPr>
      <w:pStyle w:val="a7"/>
    </w:pPr>
    <w:r>
      <w:rPr>
        <w:rtl/>
      </w:rPr>
      <w:tab/>
    </w:r>
    <w:r>
      <w:rPr>
        <w:rtl/>
      </w:rPr>
      <w:tab/>
    </w:r>
    <w:r>
      <w:rPr>
        <w:rtl/>
      </w:rPr>
      <w:tab/>
    </w:r>
    <w:r>
      <w:rPr>
        <w:rtl/>
      </w:rPr>
      <w:tab/>
    </w:r>
    <w:sdt>
      <w:sdtPr>
        <w:rPr>
          <w:b/>
          <w:bCs/>
          <w:noProof w:val="0"/>
          <w:sz w:val="26"/>
          <w:szCs w:val="26"/>
          <w:rtl/>
        </w:rPr>
        <w:alias w:val="1170"/>
        <w:tag w:val="1170"/>
        <w:id w:val="-347343411"/>
        <w:text w:multiLine="1"/>
      </w:sdtPr>
      <w:sdtEndPr/>
      <w:sdtContent>
        <w:r>
          <w:rPr>
            <w:b/>
            <w:bCs/>
            <w:noProof w:val="0"/>
            <w:sz w:val="26"/>
            <w:szCs w:val="26"/>
            <w:rtl/>
          </w:rPr>
          <w:t>ת"א</w:t>
        </w:r>
      </w:sdtContent>
    </w:sdt>
    <w:r>
      <w:rPr>
        <w:b/>
        <w:bCs/>
        <w:noProof w:val="0"/>
        <w:sz w:val="26"/>
        <w:szCs w:val="26"/>
        <w:rtl/>
      </w:rPr>
      <w:t xml:space="preserve"> </w:t>
    </w:r>
    <w:sdt>
      <w:sdtPr>
        <w:rPr>
          <w:b/>
          <w:bCs/>
          <w:noProof w:val="0"/>
          <w:sz w:val="26"/>
          <w:szCs w:val="26"/>
          <w:rtl/>
        </w:rPr>
        <w:alias w:val="1171"/>
        <w:tag w:val="1171"/>
        <w:id w:val="661580208"/>
        <w:text w:multiLine="1"/>
      </w:sdtPr>
      <w:sdtEndPr/>
      <w:sdtContent>
        <w:r>
          <w:rPr>
            <w:b/>
            <w:bCs/>
            <w:noProof w:val="0"/>
            <w:sz w:val="26"/>
            <w:szCs w:val="26"/>
          </w:rPr>
          <w:t>27907-11-19</w:t>
        </w:r>
      </w:sdtContent>
    </w:sdt>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2F6" w:rsidRDefault="007F32F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869B6"/>
    <w:multiLevelType w:val="hybridMultilevel"/>
    <w:tmpl w:val="B0FE6EC2"/>
    <w:lvl w:ilvl="0" w:tplc="9016339A">
      <w:start w:val="1"/>
      <w:numFmt w:val="decimal"/>
      <w:lvlText w:val="%1."/>
      <w:lvlJc w:val="left"/>
      <w:pPr>
        <w:ind w:left="360" w:hanging="360"/>
      </w:pPr>
      <w:rPr>
        <w:rFonts w:ascii="David" w:hAnsi="David" w:cs="David" w:hint="default"/>
        <w:b w:val="0"/>
        <w:bCs w:val="0"/>
        <w:sz w:val="24"/>
        <w:szCs w:val="24"/>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871"/>
    <w:rsid w:val="002F7C32"/>
    <w:rsid w:val="004B2871"/>
    <w:rsid w:val="00522066"/>
    <w:rsid w:val="0058210A"/>
    <w:rsid w:val="006D01FE"/>
    <w:rsid w:val="007F32F6"/>
    <w:rsid w:val="0092293E"/>
    <w:rsid w:val="00A131B1"/>
    <w:rsid w:val="00C1193A"/>
    <w:rsid w:val="00CD7225"/>
    <w:rsid w:val="00CF7D6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AC3F782-BB09-4EF7-9A73-F656061C5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D66"/>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CF7D66"/>
    <w:rPr>
      <w:color w:val="0000FF"/>
      <w:u w:val="single"/>
    </w:rPr>
  </w:style>
  <w:style w:type="paragraph" w:styleId="a3">
    <w:name w:val="List Paragraph"/>
    <w:basedOn w:val="a"/>
    <w:qFormat/>
    <w:rsid w:val="00CF7D66"/>
    <w:pPr>
      <w:spacing w:after="160" w:line="252" w:lineRule="auto"/>
      <w:ind w:left="720"/>
      <w:contextualSpacing/>
    </w:pPr>
    <w:rPr>
      <w:rFonts w:asciiTheme="minorHAnsi" w:eastAsiaTheme="minorHAnsi" w:hAnsiTheme="minorHAnsi" w:cstheme="minorBidi"/>
      <w:noProof w:val="0"/>
      <w:sz w:val="22"/>
      <w:szCs w:val="22"/>
    </w:rPr>
  </w:style>
  <w:style w:type="character" w:customStyle="1" w:styleId="a4">
    <w:name w:val="תואר תו"/>
    <w:link w:val="a5"/>
    <w:locked/>
    <w:rsid w:val="00CF7D66"/>
    <w:rPr>
      <w:b/>
      <w:bCs/>
      <w:szCs w:val="28"/>
      <w:u w:val="single"/>
      <w:shd w:val="pct20" w:color="auto" w:fill="FFFFFF"/>
      <w:lang w:eastAsia="he-IL"/>
    </w:rPr>
  </w:style>
  <w:style w:type="paragraph" w:customStyle="1" w:styleId="a5">
    <w:name w:val="תואר"/>
    <w:basedOn w:val="a"/>
    <w:link w:val="a4"/>
    <w:qFormat/>
    <w:rsid w:val="00CF7D66"/>
    <w:pPr>
      <w:shd w:val="pct20" w:color="auto" w:fill="FFFFFF"/>
      <w:spacing w:line="480" w:lineRule="auto"/>
      <w:ind w:left="1701" w:hanging="1701"/>
      <w:jc w:val="center"/>
    </w:pPr>
    <w:rPr>
      <w:rFonts w:asciiTheme="minorHAnsi" w:eastAsiaTheme="minorHAnsi" w:hAnsiTheme="minorHAnsi" w:cstheme="minorBidi"/>
      <w:b/>
      <w:bCs/>
      <w:noProof w:val="0"/>
      <w:sz w:val="22"/>
      <w:szCs w:val="28"/>
      <w:u w:val="single"/>
      <w:lang w:eastAsia="he-IL"/>
    </w:rPr>
  </w:style>
  <w:style w:type="table" w:styleId="a6">
    <w:name w:val="Table Grid"/>
    <w:basedOn w:val="a1"/>
    <w:rsid w:val="00CF7D66"/>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CD7225"/>
    <w:pPr>
      <w:tabs>
        <w:tab w:val="center" w:pos="4153"/>
        <w:tab w:val="right" w:pos="8306"/>
      </w:tabs>
    </w:pPr>
  </w:style>
  <w:style w:type="character" w:customStyle="1" w:styleId="a8">
    <w:name w:val="כותרת עליונה תו"/>
    <w:basedOn w:val="a0"/>
    <w:link w:val="a7"/>
    <w:uiPriority w:val="99"/>
    <w:rsid w:val="00CD7225"/>
    <w:rPr>
      <w:rFonts w:ascii="Times New Roman" w:eastAsia="Times New Roman" w:hAnsi="Times New Roman" w:cs="David"/>
      <w:noProof/>
      <w:sz w:val="24"/>
      <w:szCs w:val="24"/>
    </w:rPr>
  </w:style>
  <w:style w:type="paragraph" w:styleId="a9">
    <w:name w:val="footer"/>
    <w:basedOn w:val="a"/>
    <w:link w:val="aa"/>
    <w:uiPriority w:val="99"/>
    <w:unhideWhenUsed/>
    <w:rsid w:val="00CD7225"/>
    <w:pPr>
      <w:tabs>
        <w:tab w:val="center" w:pos="4153"/>
        <w:tab w:val="right" w:pos="8306"/>
      </w:tabs>
    </w:pPr>
  </w:style>
  <w:style w:type="character" w:customStyle="1" w:styleId="aa">
    <w:name w:val="כותרת תחתונה תו"/>
    <w:basedOn w:val="a0"/>
    <w:link w:val="a9"/>
    <w:uiPriority w:val="99"/>
    <w:rsid w:val="00CD7225"/>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82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17918323"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www.nevo.co.il/case/2276719"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nevo.co.il/case/17914650"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38923205D2544C290DFC56F68BF469F"/>
        <w:category>
          <w:name w:val="כללי"/>
          <w:gallery w:val="placeholder"/>
        </w:category>
        <w:types>
          <w:type w:val="bbPlcHdr"/>
        </w:types>
        <w:behaviors>
          <w:behavior w:val="content"/>
        </w:behaviors>
        <w:guid w:val="{B1D094E7-7D59-4FD9-9040-674534B4B50F}"/>
      </w:docPartPr>
      <w:docPartBody>
        <w:p w:rsidR="003E7779" w:rsidRDefault="000D5147" w:rsidP="000D5147">
          <w:pPr>
            <w:pStyle w:val="138923205D2544C290DFC56F68BF469F"/>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147"/>
    <w:rsid w:val="000D5147"/>
    <w:rsid w:val="0026661E"/>
    <w:rsid w:val="003E7779"/>
    <w:rsid w:val="00F346C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38923205D2544C290DFC56F68BF469F">
    <w:name w:val="138923205D2544C290DFC56F68BF469F"/>
    <w:rsid w:val="000D514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7548</Words>
  <Characters>37740</Characters>
  <Application>Microsoft Office Word</Application>
  <DocSecurity>0</DocSecurity>
  <Lines>314</Lines>
  <Paragraphs>90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מעין אדרי</dc:creator>
  <cp:keywords/>
  <dc:description/>
  <cp:lastModifiedBy>אסתר טטרואשילי</cp:lastModifiedBy>
  <cp:revision>2</cp:revision>
  <dcterms:created xsi:type="dcterms:W3CDTF">2023-05-24T12:02:00Z</dcterms:created>
  <dcterms:modified xsi:type="dcterms:W3CDTF">2023-05-24T12:02:00Z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a4bbe01a07476419ca78359f6b006085ca68c011b657d443dbd3edeaea28a2bc</vt:lpwstr>
  </property>
</Properties>
</file>